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600" w:lineRule="exact"/>
        <w:jc w:val="distribute"/>
        <w:rPr>
          <w:rFonts w:ascii="方正黑体_GBK" w:hAnsi="宋体" w:eastAsia="方正黑体_GBK"/>
          <w:color w:val="auto"/>
          <w:spacing w:val="20"/>
          <w:sz w:val="112"/>
          <w:szCs w:val="112"/>
          <w:highlight w:val="none"/>
        </w:rPr>
      </w:pPr>
    </w:p>
    <w:p>
      <w:pPr>
        <w:jc w:val="distribute"/>
        <w:rPr>
          <w:rFonts w:ascii="方正黑体_GBK" w:hAnsi="宋体" w:eastAsia="方正黑体_GBK"/>
          <w:color w:val="auto"/>
          <w:spacing w:val="20"/>
          <w:sz w:val="112"/>
          <w:szCs w:val="112"/>
          <w:highlight w:val="none"/>
        </w:rPr>
      </w:pPr>
      <w:r>
        <w:rPr>
          <w:rFonts w:hint="eastAsia" w:ascii="方正黑体_GBK" w:hAnsi="宋体" w:eastAsia="方正黑体_GBK"/>
          <w:color w:val="auto"/>
          <w:spacing w:val="20"/>
          <w:sz w:val="112"/>
          <w:szCs w:val="112"/>
          <w:highlight w:val="none"/>
          <w:lang w:eastAsia="zh-CN"/>
        </w:rPr>
        <w:t>遴选</w:t>
      </w:r>
      <w:r>
        <w:rPr>
          <w:rFonts w:hint="eastAsia" w:ascii="方正黑体_GBK" w:hAnsi="宋体" w:eastAsia="方正黑体_GBK"/>
          <w:color w:val="auto"/>
          <w:spacing w:val="20"/>
          <w:sz w:val="112"/>
          <w:szCs w:val="112"/>
          <w:highlight w:val="none"/>
        </w:rPr>
        <w:t>文件</w:t>
      </w: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spacing w:line="520" w:lineRule="exact"/>
        <w:jc w:val="left"/>
        <w:rPr>
          <w:rFonts w:ascii="方正仿宋_GBK" w:hAnsi="宋体" w:eastAsia="仿宋"/>
          <w:b/>
          <w:color w:val="auto"/>
          <w:sz w:val="36"/>
          <w:szCs w:val="30"/>
          <w:highlight w:val="none"/>
        </w:rPr>
      </w:pPr>
    </w:p>
    <w:p>
      <w:pPr>
        <w:ind w:left="3042" w:leftChars="866" w:hanging="964" w:hangingChars="300"/>
        <w:jc w:val="left"/>
        <w:rPr>
          <w:rFonts w:hint="eastAsia" w:ascii="方正仿宋_GBK" w:hAnsi="宋体" w:eastAsia="仿宋"/>
          <w:b/>
          <w:color w:val="auto"/>
          <w:sz w:val="32"/>
          <w:szCs w:val="28"/>
          <w:highlight w:val="none"/>
          <w:lang w:val="en-US" w:eastAsia="zh-CN"/>
        </w:rPr>
      </w:pPr>
      <w:r>
        <w:rPr>
          <w:rFonts w:hint="eastAsia" w:ascii="方正仿宋_GBK" w:hAnsi="宋体" w:eastAsia="仿宋"/>
          <w:b/>
          <w:color w:val="auto"/>
          <w:sz w:val="32"/>
          <w:szCs w:val="28"/>
          <w:highlight w:val="none"/>
        </w:rPr>
        <w:t>项 目 号：</w:t>
      </w:r>
      <w:r>
        <w:rPr>
          <w:rFonts w:hint="eastAsia" w:ascii="方正小标宋_GBK" w:eastAsia="方正小标宋_GBK" w:cs="Times New Roman"/>
          <w:color w:val="auto"/>
          <w:sz w:val="30"/>
          <w:szCs w:val="30"/>
          <w:highlight w:val="none"/>
          <w:lang w:val="en-US" w:eastAsia="zh-CN" w:bidi="ar-SA"/>
        </w:rPr>
        <w:t>BNQHXYY2026045</w:t>
      </w:r>
      <w:r>
        <w:rPr>
          <w:rFonts w:hint="eastAsia" w:ascii="方正仿宋_GBK" w:hAnsi="宋体" w:eastAsia="仿宋"/>
          <w:b/>
          <w:color w:val="auto"/>
          <w:sz w:val="32"/>
          <w:szCs w:val="28"/>
          <w:highlight w:val="none"/>
        </w:rPr>
        <w:t xml:space="preserve"> </w:t>
      </w:r>
    </w:p>
    <w:p>
      <w:pPr>
        <w:ind w:left="3042" w:leftChars="866" w:hanging="964" w:hangingChars="300"/>
        <w:jc w:val="left"/>
        <w:rPr>
          <w:rFonts w:hint="eastAsia" w:ascii="方正仿宋_GBK" w:hAnsi="宋体" w:eastAsia="仿宋"/>
          <w:b/>
          <w:color w:val="auto"/>
          <w:sz w:val="32"/>
          <w:szCs w:val="28"/>
          <w:highlight w:val="none"/>
          <w:lang w:eastAsia="zh-CN"/>
        </w:rPr>
      </w:pPr>
      <w:r>
        <w:rPr>
          <w:rFonts w:hint="eastAsia" w:ascii="方正仿宋_GBK" w:hAnsi="宋体" w:eastAsia="仿宋"/>
          <w:b/>
          <w:color w:val="auto"/>
          <w:sz w:val="32"/>
          <w:szCs w:val="28"/>
          <w:highlight w:val="none"/>
        </w:rPr>
        <w:t>项目名称：</w:t>
      </w:r>
      <w:r>
        <w:rPr>
          <w:rFonts w:hint="eastAsia" w:ascii="方正仿宋_GBK" w:hAnsi="宋体" w:eastAsia="仿宋"/>
          <w:b/>
          <w:color w:val="auto"/>
          <w:sz w:val="32"/>
          <w:szCs w:val="28"/>
          <w:highlight w:val="none"/>
          <w:lang w:eastAsia="zh-CN"/>
        </w:rPr>
        <w:t>引进第三方陪护服务供应商</w:t>
      </w:r>
      <w:r>
        <w:rPr>
          <w:rFonts w:hint="eastAsia" w:ascii="方正小标宋_GBK" w:eastAsia="方正小标宋_GBK"/>
          <w:color w:val="auto"/>
          <w:sz w:val="30"/>
          <w:szCs w:val="30"/>
          <w:highlight w:val="none"/>
          <w:lang w:eastAsia="zh-CN"/>
        </w:rPr>
        <w:t>遴选</w:t>
      </w:r>
    </w:p>
    <w:p>
      <w:pPr>
        <w:spacing w:line="520" w:lineRule="exact"/>
        <w:jc w:val="left"/>
        <w:rPr>
          <w:rFonts w:ascii="方正仿宋_GBK" w:hAnsi="宋体" w:eastAsia="仿宋"/>
          <w:b/>
          <w:color w:val="auto"/>
          <w:sz w:val="32"/>
          <w:szCs w:val="28"/>
          <w:highlight w:val="none"/>
        </w:rPr>
      </w:pPr>
    </w:p>
    <w:p>
      <w:pPr>
        <w:spacing w:line="520" w:lineRule="exact"/>
        <w:jc w:val="left"/>
        <w:rPr>
          <w:rFonts w:ascii="方正仿宋_GBK" w:hAnsi="宋体" w:eastAsia="仿宋"/>
          <w:b/>
          <w:color w:val="auto"/>
          <w:sz w:val="32"/>
          <w:szCs w:val="28"/>
          <w:highlight w:val="none"/>
        </w:rPr>
      </w:pPr>
    </w:p>
    <w:p>
      <w:pPr>
        <w:pStyle w:val="22"/>
        <w:rPr>
          <w:color w:val="auto"/>
          <w:sz w:val="22"/>
          <w:szCs w:val="18"/>
          <w:highlight w:val="none"/>
        </w:rPr>
      </w:pPr>
    </w:p>
    <w:p>
      <w:pPr>
        <w:spacing w:line="520" w:lineRule="exact"/>
        <w:jc w:val="left"/>
        <w:rPr>
          <w:rFonts w:ascii="方正仿宋_GBK" w:hAnsi="宋体" w:eastAsia="仿宋"/>
          <w:b/>
          <w:color w:val="auto"/>
          <w:sz w:val="32"/>
          <w:szCs w:val="28"/>
          <w:highlight w:val="none"/>
        </w:rPr>
      </w:pPr>
    </w:p>
    <w:p>
      <w:pPr>
        <w:ind w:left="3684" w:leftChars="866" w:hanging="1606" w:hangingChars="500"/>
        <w:jc w:val="left"/>
        <w:rPr>
          <w:rFonts w:ascii="方正仿宋_GBK" w:hAnsi="宋体" w:eastAsia="仿宋"/>
          <w:b/>
          <w:color w:val="auto"/>
          <w:sz w:val="32"/>
          <w:szCs w:val="28"/>
          <w:highlight w:val="none"/>
        </w:rPr>
      </w:pPr>
      <w:r>
        <w:rPr>
          <w:rFonts w:hint="eastAsia" w:ascii="方正仿宋_GBK" w:hAnsi="宋体" w:eastAsia="仿宋"/>
          <w:b/>
          <w:color w:val="auto"/>
          <w:sz w:val="32"/>
          <w:szCs w:val="28"/>
          <w:highlight w:val="none"/>
        </w:rPr>
        <w:t>采购人：重庆市巴南区第二人民医院</w:t>
      </w:r>
    </w:p>
    <w:p>
      <w:pPr>
        <w:spacing w:line="520" w:lineRule="exact"/>
        <w:ind w:firstLine="480" w:firstLineChars="200"/>
        <w:jc w:val="left"/>
        <w:rPr>
          <w:rFonts w:ascii="宋体" w:hAnsi="宋体" w:eastAsia="仿宋" w:cs="宋体"/>
          <w:color w:val="auto"/>
          <w:szCs w:val="28"/>
          <w:highlight w:val="none"/>
        </w:rPr>
      </w:pPr>
    </w:p>
    <w:p>
      <w:pPr>
        <w:spacing w:line="520" w:lineRule="exact"/>
        <w:ind w:firstLine="480" w:firstLineChars="200"/>
        <w:jc w:val="left"/>
        <w:rPr>
          <w:rFonts w:ascii="宋体" w:hAnsi="宋体" w:eastAsia="仿宋" w:cs="宋体"/>
          <w:color w:val="auto"/>
          <w:szCs w:val="28"/>
          <w:highlight w:val="none"/>
        </w:rPr>
      </w:pPr>
    </w:p>
    <w:p>
      <w:pPr>
        <w:spacing w:line="520" w:lineRule="exact"/>
        <w:jc w:val="center"/>
        <w:rPr>
          <w:rFonts w:hint="eastAsia" w:ascii="仿宋" w:hAnsi="仿宋" w:eastAsia="仿宋" w:cs="仿宋"/>
          <w:color w:val="auto"/>
          <w:sz w:val="24"/>
          <w:szCs w:val="24"/>
          <w:highlight w:val="none"/>
        </w:rPr>
        <w:sectPr>
          <w:headerReference r:id="rId3" w:type="default"/>
          <w:footerReference r:id="rId4" w:type="default"/>
          <w:pgSz w:w="11907" w:h="16840"/>
          <w:pgMar w:top="1134" w:right="1191" w:bottom="1134" w:left="1304" w:header="794"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仿宋_GBK" w:hAnsi="宋体" w:eastAsia="仿宋"/>
          <w:b/>
          <w:color w:val="auto"/>
          <w:sz w:val="36"/>
          <w:szCs w:val="30"/>
          <w:highlight w:val="none"/>
        </w:rPr>
        <w:t>二〇二</w:t>
      </w:r>
      <w:r>
        <w:rPr>
          <w:rFonts w:hint="eastAsia" w:ascii="方正仿宋_GBK" w:hAnsi="宋体" w:eastAsia="仿宋"/>
          <w:b/>
          <w:color w:val="auto"/>
          <w:sz w:val="36"/>
          <w:szCs w:val="30"/>
          <w:highlight w:val="none"/>
          <w:lang w:eastAsia="zh-CN"/>
        </w:rPr>
        <w:t>六</w:t>
      </w:r>
      <w:r>
        <w:rPr>
          <w:rFonts w:hint="eastAsia" w:ascii="方正仿宋_GBK" w:hAnsi="宋体" w:eastAsia="仿宋"/>
          <w:b/>
          <w:color w:val="auto"/>
          <w:sz w:val="36"/>
          <w:szCs w:val="30"/>
          <w:highlight w:val="none"/>
        </w:rPr>
        <w:t>年</w:t>
      </w:r>
      <w:r>
        <w:rPr>
          <w:rFonts w:hint="eastAsia" w:ascii="方正仿宋_GBK" w:hAnsi="宋体" w:eastAsia="仿宋"/>
          <w:b/>
          <w:color w:val="auto"/>
          <w:sz w:val="36"/>
          <w:szCs w:val="30"/>
          <w:highlight w:val="none"/>
          <w:lang w:eastAsia="zh-CN"/>
        </w:rPr>
        <w:t>十</w:t>
      </w:r>
      <w:r>
        <w:rPr>
          <w:rFonts w:hint="eastAsia" w:ascii="方正仿宋_GBK" w:hAnsi="宋体" w:eastAsia="仿宋"/>
          <w:b/>
          <w:color w:val="auto"/>
          <w:sz w:val="36"/>
          <w:szCs w:val="30"/>
          <w:highlight w:val="none"/>
        </w:rPr>
        <w:t>月</w:t>
      </w:r>
      <w:bookmarkStart w:id="0" w:name="_Toc409189607"/>
      <w:bookmarkStart w:id="1" w:name="_Toc22748"/>
      <w:bookmarkStart w:id="2" w:name="_Toc1349"/>
      <w:bookmarkStart w:id="3" w:name="_Toc28414"/>
      <w:bookmarkStart w:id="4" w:name="_Toc10860"/>
      <w:bookmarkStart w:id="5" w:name="_Toc26422"/>
      <w:bookmarkStart w:id="6" w:name="_Toc31259"/>
      <w:bookmarkStart w:id="7" w:name="_Toc48837294"/>
      <w:bookmarkStart w:id="8" w:name="_Toc884"/>
      <w:bookmarkStart w:id="9" w:name="_Toc23082"/>
      <w:bookmarkStart w:id="10" w:name="_Toc31222"/>
      <w:bookmarkStart w:id="11" w:name="_Toc29247"/>
      <w:bookmarkStart w:id="12" w:name="_Toc20400"/>
      <w:bookmarkStart w:id="13" w:name="_Toc17236"/>
      <w:bookmarkStart w:id="14" w:name="_Toc18640"/>
      <w:bookmarkStart w:id="15" w:name="_Toc19087"/>
      <w:bookmarkStart w:id="16" w:name="_Toc384905063"/>
      <w:bookmarkStart w:id="17" w:name="_Toc15652"/>
      <w:bookmarkStart w:id="18" w:name="_Toc32674"/>
    </w:p>
    <w:p>
      <w:pPr>
        <w:pStyle w:val="3"/>
        <w:numPr>
          <w:ilvl w:val="0"/>
          <w:numId w:val="0"/>
        </w:numPr>
        <w:tabs>
          <w:tab w:val="clear" w:pos="3360"/>
        </w:tabs>
        <w:spacing w:before="120" w:after="120"/>
        <w:ind w:leftChars="0" w:firstLine="3352" w:firstLineChars="800"/>
        <w:jc w:val="both"/>
        <w:rPr>
          <w:rFonts w:hint="eastAsia"/>
          <w:color w:val="auto"/>
          <w:szCs w:val="22"/>
          <w:highlight w:val="none"/>
        </w:rPr>
      </w:pPr>
      <w:bookmarkStart w:id="19" w:name="_Toc31954"/>
      <w:bookmarkStart w:id="20" w:name="_Toc25124"/>
      <w:bookmarkStart w:id="21" w:name="_Toc28504"/>
      <w:bookmarkStart w:id="22" w:name="_Toc26243"/>
      <w:bookmarkStart w:id="23" w:name="_Toc23899"/>
      <w:bookmarkStart w:id="24" w:name="_Toc12112"/>
      <w:bookmarkStart w:id="25" w:name="_Toc10856"/>
      <w:bookmarkStart w:id="26" w:name="_Toc6324"/>
      <w:bookmarkStart w:id="27" w:name="_Toc17834"/>
      <w:bookmarkStart w:id="28" w:name="_Toc9938"/>
      <w:bookmarkStart w:id="29" w:name="_Toc28927"/>
      <w:r>
        <w:rPr>
          <w:rFonts w:hint="eastAsia"/>
          <w:color w:val="auto"/>
          <w:szCs w:val="22"/>
          <w:highlight w:val="none"/>
          <w:lang w:eastAsia="zh-CN"/>
        </w:rPr>
        <w:t>第一篇</w:t>
      </w:r>
      <w:r>
        <w:rPr>
          <w:rFonts w:hint="eastAsia"/>
          <w:color w:val="auto"/>
          <w:szCs w:val="22"/>
          <w:highlight w:val="none"/>
          <w:lang w:val="en-US" w:eastAsia="zh-CN"/>
        </w:rPr>
        <w:t xml:space="preserve"> </w:t>
      </w:r>
      <w:r>
        <w:rPr>
          <w:rFonts w:hint="eastAsia"/>
          <w:color w:val="auto"/>
          <w:szCs w:val="22"/>
          <w:highlight w:val="none"/>
        </w:rPr>
        <w:t>采购邀请书</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bookmarkStart w:id="30" w:name="_Toc14384"/>
      <w:bookmarkStart w:id="31" w:name="_Toc28983"/>
      <w:bookmarkStart w:id="32" w:name="_Toc496021253"/>
      <w:bookmarkStart w:id="33" w:name="_Toc9401"/>
      <w:bookmarkStart w:id="34" w:name="_Toc12926"/>
      <w:bookmarkStart w:id="35" w:name="_Toc20641"/>
      <w:bookmarkStart w:id="36" w:name="_Toc22913"/>
      <w:bookmarkStart w:id="37" w:name="_Toc394390667"/>
      <w:bookmarkStart w:id="38" w:name="_Toc409189608"/>
      <w:bookmarkStart w:id="39" w:name="_Toc12339"/>
      <w:bookmarkStart w:id="40" w:name="_Toc17527"/>
      <w:bookmarkStart w:id="41" w:name="_Toc48837295"/>
      <w:bookmarkStart w:id="42" w:name="_Toc28969"/>
      <w:bookmarkStart w:id="43" w:name="_Toc7453"/>
      <w:bookmarkStart w:id="44" w:name="_Toc10904"/>
      <w:bookmarkStart w:id="45" w:name="_Toc12869"/>
      <w:bookmarkStart w:id="46" w:name="_Toc8661"/>
      <w:bookmarkStart w:id="47" w:name="_Toc25215"/>
      <w:bookmarkStart w:id="48" w:name="_Toc20340"/>
      <w:bookmarkStart w:id="49" w:name="_Toc25274"/>
      <w:bookmarkStart w:id="50" w:name="_Toc22920"/>
      <w:bookmarkStart w:id="51" w:name="_Toc9329"/>
      <w:bookmarkStart w:id="52" w:name="_Toc22466"/>
      <w:bookmarkStart w:id="53" w:name="_Toc29073"/>
      <w:bookmarkStart w:id="54" w:name="_Toc22879"/>
      <w:bookmarkStart w:id="55" w:name="_Toc30770"/>
      <w:bookmarkStart w:id="56" w:name="_Toc8724"/>
      <w:bookmarkStart w:id="57" w:name="_Toc14688"/>
      <w:bookmarkStart w:id="58" w:name="_Toc24079"/>
      <w:bookmarkStart w:id="59" w:name="_Toc24733"/>
      <w:r>
        <w:rPr>
          <w:rFonts w:hint="eastAsia" w:ascii="仿宋" w:hAnsi="仿宋" w:eastAsia="仿宋" w:cs="仿宋"/>
          <w:color w:val="auto"/>
          <w:highlight w:val="none"/>
        </w:rPr>
        <w:t>重庆市</w:t>
      </w:r>
      <w:r>
        <w:rPr>
          <w:rFonts w:hint="eastAsia" w:ascii="仿宋" w:hAnsi="仿宋" w:eastAsia="仿宋" w:cs="仿宋"/>
          <w:color w:val="auto"/>
          <w:highlight w:val="none"/>
          <w:lang w:eastAsia="zh-CN"/>
        </w:rPr>
        <w:t>巴南</w:t>
      </w:r>
      <w:r>
        <w:rPr>
          <w:rFonts w:hint="eastAsia" w:ascii="仿宋" w:hAnsi="仿宋" w:eastAsia="仿宋" w:cs="仿宋"/>
          <w:color w:val="auto"/>
          <w:highlight w:val="none"/>
        </w:rPr>
        <w:t>区</w:t>
      </w:r>
      <w:r>
        <w:rPr>
          <w:rFonts w:hint="eastAsia" w:ascii="仿宋" w:hAnsi="仿宋" w:eastAsia="仿宋" w:cs="仿宋"/>
          <w:color w:val="auto"/>
          <w:highlight w:val="none"/>
          <w:lang w:eastAsia="zh-CN"/>
        </w:rPr>
        <w:t>第二人民医院</w:t>
      </w:r>
      <w:r>
        <w:rPr>
          <w:rFonts w:hint="eastAsia" w:ascii="仿宋" w:hAnsi="仿宋" w:eastAsia="仿宋" w:cs="仿宋"/>
          <w:color w:val="auto"/>
          <w:highlight w:val="none"/>
        </w:rPr>
        <w:t>对</w:t>
      </w:r>
      <w:r>
        <w:rPr>
          <w:rFonts w:hint="eastAsia" w:ascii="仿宋" w:hAnsi="仿宋" w:eastAsia="仿宋" w:cs="仿宋"/>
          <w:color w:val="auto"/>
          <w:highlight w:val="none"/>
          <w:lang w:eastAsia="zh-CN"/>
        </w:rPr>
        <w:t>引进第三方陪护陪护服务</w:t>
      </w:r>
      <w:r>
        <w:rPr>
          <w:rFonts w:hint="eastAsia" w:ascii="仿宋" w:hAnsi="仿宋" w:eastAsia="仿宋" w:cs="仿宋"/>
          <w:color w:val="auto"/>
          <w:highlight w:val="none"/>
        </w:rPr>
        <w:t>以</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方式实行采购，欢迎有资格的</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前来参与</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w:t>
      </w:r>
    </w:p>
    <w:p>
      <w:pPr>
        <w:spacing w:before="156" w:after="156" w:line="520" w:lineRule="exact"/>
        <w:ind w:firstLine="438" w:firstLineChars="200"/>
        <w:jc w:val="left"/>
        <w:outlineLvl w:val="1"/>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rPr>
        <w:t>一、</w:t>
      </w:r>
      <w:bookmarkEnd w:id="30"/>
      <w:bookmarkEnd w:id="31"/>
      <w:bookmarkEnd w:id="32"/>
      <w:bookmarkEnd w:id="33"/>
      <w:bookmarkEnd w:id="34"/>
      <w:bookmarkEnd w:id="35"/>
      <w:bookmarkEnd w:id="36"/>
      <w:bookmarkEnd w:id="37"/>
      <w:bookmarkEnd w:id="38"/>
      <w:bookmarkEnd w:id="39"/>
      <w:bookmarkEnd w:id="40"/>
      <w:r>
        <w:rPr>
          <w:rFonts w:hint="eastAsia" w:ascii="仿宋" w:hAnsi="仿宋" w:eastAsia="仿宋" w:cs="仿宋"/>
          <w:b/>
          <w:bCs/>
          <w:color w:val="auto"/>
          <w:szCs w:val="28"/>
          <w:highlight w:val="none"/>
          <w:lang w:eastAsia="zh-CN"/>
        </w:rPr>
        <w:t>遴选</w:t>
      </w:r>
      <w:r>
        <w:rPr>
          <w:rFonts w:hint="eastAsia" w:ascii="仿宋" w:hAnsi="仿宋" w:eastAsia="仿宋" w:cs="仿宋"/>
          <w:b/>
          <w:bCs/>
          <w:color w:val="auto"/>
          <w:szCs w:val="28"/>
          <w:highlight w:val="none"/>
        </w:rPr>
        <w:t>内容</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tbl>
      <w:tblPr>
        <w:tblStyle w:val="24"/>
        <w:tblW w:w="9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368"/>
        <w:gridCol w:w="2682"/>
        <w:gridCol w:w="1729"/>
        <w:gridCol w:w="1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9" w:hRule="atLeast"/>
          <w:jc w:val="center"/>
        </w:trPr>
        <w:tc>
          <w:tcPr>
            <w:tcW w:w="3368"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b/>
                <w:bCs/>
                <w:color w:val="auto"/>
                <w:szCs w:val="18"/>
                <w:highlight w:val="none"/>
              </w:rPr>
            </w:pPr>
            <w:bookmarkStart w:id="60" w:name="_Toc16154"/>
            <w:bookmarkStart w:id="61" w:name="_Toc18183"/>
            <w:bookmarkStart w:id="62" w:name="_Toc17801"/>
            <w:bookmarkStart w:id="63" w:name="_Toc17029"/>
            <w:bookmarkStart w:id="64" w:name="_Toc28493"/>
            <w:bookmarkStart w:id="65" w:name="_Toc29325"/>
            <w:bookmarkStart w:id="66" w:name="_Toc31035"/>
            <w:bookmarkStart w:id="67" w:name="_Toc30285"/>
            <w:bookmarkStart w:id="68" w:name="_Toc409189609"/>
            <w:bookmarkStart w:id="69" w:name="_Toc25113"/>
            <w:bookmarkStart w:id="70" w:name="_Toc394390668"/>
            <w:bookmarkStart w:id="71" w:name="_Toc15377"/>
            <w:bookmarkStart w:id="72" w:name="_Toc21812"/>
            <w:bookmarkStart w:id="73" w:name="_Toc48837296"/>
            <w:bookmarkStart w:id="74" w:name="_Toc20059"/>
            <w:bookmarkStart w:id="75" w:name="_Toc24335"/>
            <w:r>
              <w:rPr>
                <w:rFonts w:hint="eastAsia" w:ascii="仿宋" w:hAnsi="仿宋" w:eastAsia="仿宋" w:cs="仿宋"/>
                <w:b/>
                <w:bCs/>
                <w:color w:val="auto"/>
                <w:sz w:val="21"/>
                <w:szCs w:val="21"/>
                <w:highlight w:val="none"/>
              </w:rPr>
              <w:t>项目名称</w:t>
            </w:r>
          </w:p>
        </w:tc>
        <w:tc>
          <w:tcPr>
            <w:tcW w:w="2682"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b/>
                <w:bCs/>
                <w:color w:val="auto"/>
                <w:szCs w:val="18"/>
                <w:highlight w:val="none"/>
                <w:lang w:eastAsia="zh-CN"/>
              </w:rPr>
            </w:pPr>
            <w:r>
              <w:rPr>
                <w:rFonts w:hint="eastAsia" w:ascii="仿宋" w:hAnsi="仿宋" w:eastAsia="仿宋" w:cs="仿宋"/>
                <w:b/>
                <w:bCs/>
                <w:color w:val="auto"/>
                <w:sz w:val="21"/>
                <w:szCs w:val="21"/>
                <w:highlight w:val="none"/>
                <w:lang w:eastAsia="zh-CN"/>
              </w:rPr>
              <w:t>成交人数量</w:t>
            </w:r>
          </w:p>
        </w:tc>
        <w:tc>
          <w:tcPr>
            <w:tcW w:w="1729"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b/>
                <w:bCs/>
                <w:color w:val="auto"/>
                <w:szCs w:val="18"/>
                <w:highlight w:val="none"/>
                <w:lang w:eastAsia="zh-CN"/>
              </w:rPr>
            </w:pPr>
            <w:r>
              <w:rPr>
                <w:rFonts w:hint="eastAsia" w:ascii="仿宋" w:hAnsi="仿宋" w:eastAsia="仿宋" w:cs="仿宋"/>
                <w:b/>
                <w:bCs/>
                <w:color w:val="auto"/>
                <w:szCs w:val="18"/>
                <w:highlight w:val="none"/>
                <w:lang w:eastAsia="zh-CN"/>
              </w:rPr>
              <w:t>期限</w:t>
            </w:r>
          </w:p>
        </w:tc>
        <w:tc>
          <w:tcPr>
            <w:tcW w:w="1729"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5" w:hRule="atLeast"/>
          <w:jc w:val="center"/>
        </w:trPr>
        <w:tc>
          <w:tcPr>
            <w:tcW w:w="3368" w:type="dxa"/>
            <w:vAlign w:val="center"/>
          </w:tcPr>
          <w:p>
            <w:pPr>
              <w:keepNext w:val="0"/>
              <w:keepLines w:val="0"/>
              <w:suppressLineNumbers w:val="0"/>
              <w:spacing w:before="0" w:beforeAutospacing="0" w:after="0" w:afterAutospacing="0" w:line="280" w:lineRule="exact"/>
              <w:ind w:left="0" w:right="0"/>
              <w:jc w:val="center"/>
              <w:rPr>
                <w:rFonts w:hint="eastAsia" w:ascii="仿宋" w:hAnsi="仿宋" w:eastAsia="仿宋" w:cs="仿宋"/>
                <w:color w:val="auto"/>
                <w:sz w:val="22"/>
                <w:szCs w:val="16"/>
                <w:highlight w:val="none"/>
                <w:lang w:eastAsia="zh-CN"/>
              </w:rPr>
            </w:pPr>
            <w:r>
              <w:rPr>
                <w:rFonts w:hint="eastAsia" w:ascii="仿宋" w:hAnsi="仿宋" w:eastAsia="仿宋" w:cs="仿宋"/>
                <w:color w:val="auto"/>
                <w:szCs w:val="20"/>
                <w:highlight w:val="none"/>
              </w:rPr>
              <w:t>重庆市巴南区第二人民医院</w:t>
            </w:r>
            <w:r>
              <w:rPr>
                <w:rFonts w:hint="eastAsia" w:ascii="仿宋" w:hAnsi="仿宋" w:eastAsia="仿宋" w:cs="仿宋"/>
                <w:color w:val="auto"/>
                <w:szCs w:val="20"/>
                <w:highlight w:val="none"/>
                <w:lang w:eastAsia="zh-CN"/>
              </w:rPr>
              <w:t>引进第三方陪护服务供应商遴选</w:t>
            </w:r>
          </w:p>
        </w:tc>
        <w:tc>
          <w:tcPr>
            <w:tcW w:w="2682"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color w:val="auto"/>
                <w:sz w:val="22"/>
                <w:szCs w:val="16"/>
                <w:highlight w:val="none"/>
                <w:lang w:val="en-US" w:eastAsia="zh-CN"/>
              </w:rPr>
            </w:pPr>
            <w:r>
              <w:rPr>
                <w:rFonts w:hint="eastAsia" w:ascii="仿宋" w:hAnsi="仿宋" w:eastAsia="仿宋" w:cs="仿宋"/>
                <w:color w:val="auto"/>
                <w:sz w:val="21"/>
                <w:szCs w:val="21"/>
                <w:highlight w:val="none"/>
                <w:lang w:val="en-US" w:eastAsia="zh-CN"/>
              </w:rPr>
              <w:t>1</w:t>
            </w:r>
          </w:p>
        </w:tc>
        <w:tc>
          <w:tcPr>
            <w:tcW w:w="1729"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default" w:ascii="仿宋" w:hAnsi="仿宋" w:eastAsia="仿宋" w:cs="仿宋"/>
                <w:color w:val="auto"/>
                <w:sz w:val="22"/>
                <w:szCs w:val="16"/>
                <w:highlight w:val="none"/>
                <w:lang w:val="en-US" w:eastAsia="zh-CN"/>
              </w:rPr>
            </w:pPr>
            <w:r>
              <w:rPr>
                <w:rFonts w:hint="eastAsia" w:ascii="仿宋" w:hAnsi="仿宋" w:eastAsia="仿宋" w:cs="仿宋"/>
                <w:color w:val="auto"/>
                <w:sz w:val="22"/>
                <w:szCs w:val="16"/>
                <w:highlight w:val="none"/>
                <w:lang w:val="en-US" w:eastAsia="zh-CN"/>
              </w:rPr>
              <w:t>1年</w:t>
            </w:r>
          </w:p>
        </w:tc>
        <w:tc>
          <w:tcPr>
            <w:tcW w:w="1729" w:type="dxa"/>
            <w:vAlign w:val="center"/>
          </w:tcPr>
          <w:p>
            <w:pPr>
              <w:keepNext w:val="0"/>
              <w:keepLines w:val="0"/>
              <w:pageBreakBefore w:val="0"/>
              <w:widowControl w:val="0"/>
              <w:suppressLineNumbers w:val="0"/>
              <w:suppressAutoHyphens w:val="0"/>
              <w:spacing w:before="0" w:beforeAutospacing="0" w:after="0" w:afterAutospacing="0" w:line="280" w:lineRule="exact"/>
              <w:ind w:left="0" w:right="0"/>
              <w:jc w:val="center"/>
              <w:rPr>
                <w:rFonts w:hint="eastAsia" w:ascii="仿宋" w:hAnsi="仿宋" w:eastAsia="仿宋" w:cs="仿宋"/>
                <w:color w:val="auto"/>
                <w:sz w:val="22"/>
                <w:szCs w:val="16"/>
                <w:highlight w:val="none"/>
                <w:lang w:val="en-US" w:eastAsia="zh-CN"/>
              </w:rPr>
            </w:pPr>
          </w:p>
        </w:tc>
      </w:t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tbl>
    <w:p>
      <w:pPr>
        <w:spacing w:before="156" w:after="156" w:line="520" w:lineRule="exact"/>
        <w:ind w:firstLine="438" w:firstLineChars="200"/>
        <w:jc w:val="left"/>
        <w:outlineLvl w:val="1"/>
        <w:rPr>
          <w:rFonts w:hint="eastAsia" w:ascii="仿宋" w:hAnsi="仿宋" w:eastAsia="仿宋" w:cs="仿宋"/>
          <w:b/>
          <w:bCs/>
          <w:color w:val="auto"/>
          <w:szCs w:val="28"/>
          <w:highlight w:val="none"/>
        </w:rPr>
      </w:pPr>
      <w:bookmarkStart w:id="76" w:name="_Toc23551"/>
      <w:bookmarkStart w:id="77" w:name="_Toc26038"/>
      <w:bookmarkStart w:id="78" w:name="_Toc685"/>
      <w:bookmarkStart w:id="79" w:name="_Toc31670"/>
      <w:bookmarkStart w:id="80" w:name="_Toc30163"/>
      <w:bookmarkStart w:id="81" w:name="_Toc22134"/>
      <w:bookmarkStart w:id="82" w:name="_Toc6307"/>
      <w:bookmarkStart w:id="83" w:name="_Toc25413"/>
      <w:bookmarkStart w:id="84" w:name="_Toc19995"/>
      <w:bookmarkStart w:id="85" w:name="_Toc32431"/>
      <w:bookmarkStart w:id="86" w:name="_Toc31349"/>
      <w:bookmarkStart w:id="87" w:name="_Toc16524"/>
      <w:bookmarkStart w:id="88" w:name="_Toc30892"/>
      <w:bookmarkStart w:id="89" w:name="_Toc19744"/>
      <w:bookmarkStart w:id="90" w:name="_Toc394390669"/>
      <w:bookmarkStart w:id="91" w:name="_Toc409189610"/>
      <w:bookmarkStart w:id="92" w:name="_Toc22463"/>
      <w:bookmarkStart w:id="93" w:name="_Toc16627"/>
      <w:bookmarkStart w:id="94" w:name="_Toc25550"/>
      <w:bookmarkStart w:id="95" w:name="_Toc10636"/>
      <w:bookmarkStart w:id="96" w:name="_Toc14169"/>
      <w:bookmarkStart w:id="97" w:name="_Toc258"/>
      <w:bookmarkStart w:id="98" w:name="_Toc13049"/>
      <w:bookmarkStart w:id="99" w:name="_Toc48837297"/>
      <w:bookmarkStart w:id="100" w:name="_Toc21671"/>
      <w:bookmarkStart w:id="101" w:name="_Toc17739"/>
      <w:bookmarkStart w:id="102" w:name="_Toc3717"/>
      <w:bookmarkStart w:id="103" w:name="_Toc21414"/>
      <w:bookmarkStart w:id="104" w:name="_Toc10858"/>
      <w:r>
        <w:rPr>
          <w:rFonts w:hint="eastAsia" w:ascii="仿宋" w:hAnsi="仿宋" w:eastAsia="仿宋" w:cs="仿宋"/>
          <w:b/>
          <w:bCs/>
          <w:color w:val="auto"/>
          <w:szCs w:val="28"/>
          <w:highlight w:val="none"/>
          <w:lang w:eastAsia="zh-CN"/>
        </w:rPr>
        <w:t>二</w:t>
      </w:r>
      <w:r>
        <w:rPr>
          <w:rFonts w:hint="eastAsia" w:ascii="仿宋" w:hAnsi="仿宋" w:eastAsia="仿宋" w:cs="仿宋"/>
          <w:b/>
          <w:bCs/>
          <w:color w:val="auto"/>
          <w:szCs w:val="28"/>
          <w:highlight w:val="none"/>
        </w:rPr>
        <w:t>、</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Fonts w:hint="eastAsia" w:ascii="仿宋" w:hAnsi="仿宋" w:eastAsia="仿宋" w:cs="仿宋"/>
          <w:b/>
          <w:bCs/>
          <w:color w:val="auto"/>
          <w:szCs w:val="28"/>
          <w:highlight w:val="none"/>
        </w:rPr>
        <w:t>供应商资格条件</w:t>
      </w:r>
      <w:bookmarkEnd w:id="101"/>
      <w:bookmarkEnd w:id="102"/>
      <w:bookmarkEnd w:id="103"/>
      <w:bookmarkEnd w:id="104"/>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bookmarkStart w:id="105" w:name="_Toc48837298"/>
      <w:bookmarkStart w:id="106" w:name="_Toc6106"/>
      <w:bookmarkStart w:id="107" w:name="_Toc15713"/>
      <w:bookmarkStart w:id="108" w:name="_Toc3161"/>
      <w:bookmarkStart w:id="109" w:name="_Toc3317"/>
      <w:bookmarkStart w:id="110" w:name="_Toc7718"/>
      <w:bookmarkStart w:id="111" w:name="_Toc12349"/>
      <w:bookmarkStart w:id="112" w:name="_Toc7315"/>
      <w:bookmarkStart w:id="113" w:name="_Toc28624"/>
      <w:bookmarkStart w:id="114" w:name="_Toc28826"/>
      <w:bookmarkStart w:id="115" w:name="_Toc27155"/>
      <w:bookmarkStart w:id="116" w:name="_Toc18923"/>
      <w:bookmarkStart w:id="117" w:name="_Toc9364"/>
      <w:bookmarkStart w:id="118" w:name="_Toc7978"/>
      <w:bookmarkStart w:id="119" w:name="_Toc409189611"/>
      <w:bookmarkStart w:id="120" w:name="_Toc23925"/>
      <w:bookmarkStart w:id="121" w:name="_Toc26381"/>
      <w:bookmarkStart w:id="122" w:name="_Toc31947"/>
      <w:bookmarkStart w:id="123" w:name="_Toc7370"/>
      <w:bookmarkStart w:id="124" w:name="_Toc22648"/>
      <w:bookmarkStart w:id="125" w:name="_Toc14905"/>
      <w:bookmarkStart w:id="126" w:name="_Toc28595"/>
      <w:bookmarkStart w:id="127" w:name="_Toc3030"/>
      <w:bookmarkStart w:id="128" w:name="_Toc19479"/>
      <w:bookmarkStart w:id="129" w:name="_Toc9628"/>
      <w:bookmarkStart w:id="130" w:name="_Toc4736"/>
      <w:bookmarkStart w:id="131" w:name="_Toc18238"/>
      <w:bookmarkStart w:id="132" w:name="_Toc10223"/>
      <w:r>
        <w:rPr>
          <w:rFonts w:hint="eastAsia" w:ascii="仿宋" w:hAnsi="仿宋" w:eastAsia="仿宋" w:cs="仿宋"/>
          <w:color w:val="auto"/>
          <w:highlight w:val="none"/>
        </w:rPr>
        <w:t>合格</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应首先</w:t>
      </w:r>
      <w:r>
        <w:rPr>
          <w:rFonts w:hint="eastAsia" w:ascii="仿宋" w:hAnsi="仿宋" w:eastAsia="仿宋" w:cs="仿宋"/>
          <w:color w:val="auto"/>
          <w:highlight w:val="none"/>
          <w:lang w:eastAsia="zh-CN"/>
        </w:rPr>
        <w:t>满足《中华人民共和国政府采购法》第二十二条规定的基本条件，同时符合根据该项目特点设置的特定资格条件。</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（一）基本资格条件</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1.具有独立承担民事责任的能力；</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2.具有良好的商业信誉和健全的财务会计制度；</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3.具有履行合同所必需的设备和专业技术能力；</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4.有依法缴纳税收和社会保障资金的良好记录；</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5.参加政府采购活动前三年内，在经营活动中没有重大违法记录；</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6.法律、行政法规规定的其他条件。</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二</w:t>
      </w:r>
      <w:r>
        <w:rPr>
          <w:rFonts w:hint="eastAsia" w:ascii="仿宋" w:hAnsi="仿宋" w:eastAsia="仿宋" w:cs="仿宋"/>
          <w:color w:val="auto"/>
          <w:highlight w:val="none"/>
        </w:rPr>
        <w:t>）特定资格条件（复印件加盖</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鲜章）</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竞选人应具有有效期内的劳务派遣经营许可证和人力资源服务许可证。（竞选文件中提供证书复印件并加盖竞选人公章）</w:t>
      </w:r>
    </w:p>
    <w:p>
      <w:pPr>
        <w:spacing w:before="156" w:after="156" w:line="520" w:lineRule="exact"/>
        <w:ind w:firstLine="438" w:firstLineChars="200"/>
        <w:jc w:val="left"/>
        <w:outlineLvl w:val="1"/>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lang w:eastAsia="zh-CN"/>
        </w:rPr>
        <w:t>三</w:t>
      </w:r>
      <w:r>
        <w:rPr>
          <w:rFonts w:hint="eastAsia" w:ascii="仿宋" w:hAnsi="仿宋" w:eastAsia="仿宋" w:cs="仿宋"/>
          <w:b/>
          <w:bCs/>
          <w:color w:val="auto"/>
          <w:szCs w:val="28"/>
          <w:highlight w:val="none"/>
        </w:rPr>
        <w:t>、</w:t>
      </w:r>
      <w:r>
        <w:rPr>
          <w:rFonts w:hint="eastAsia" w:ascii="仿宋" w:hAnsi="仿宋" w:eastAsia="仿宋" w:cs="仿宋"/>
          <w:b/>
          <w:bCs/>
          <w:color w:val="auto"/>
          <w:szCs w:val="28"/>
          <w:highlight w:val="none"/>
          <w:lang w:eastAsia="zh-CN"/>
        </w:rPr>
        <w:t>遴选</w:t>
      </w:r>
      <w:r>
        <w:rPr>
          <w:rFonts w:hint="eastAsia" w:ascii="仿宋" w:hAnsi="仿宋" w:eastAsia="仿宋" w:cs="仿宋"/>
          <w:b/>
          <w:bCs/>
          <w:color w:val="auto"/>
          <w:szCs w:val="28"/>
          <w:highlight w:val="none"/>
        </w:rPr>
        <w:t>有关说明</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bookmarkStart w:id="133" w:name="_Toc22003"/>
      <w:bookmarkStart w:id="134" w:name="_Toc16771"/>
      <w:bookmarkStart w:id="135" w:name="_Toc25212"/>
      <w:bookmarkStart w:id="136" w:name="_Toc14236"/>
      <w:bookmarkStart w:id="137" w:name="_Toc21405"/>
      <w:bookmarkStart w:id="138" w:name="_Toc17822"/>
      <w:bookmarkStart w:id="139" w:name="_Toc30517"/>
      <w:bookmarkStart w:id="140" w:name="_Toc30895"/>
      <w:bookmarkStart w:id="141" w:name="_Toc28412"/>
      <w:bookmarkStart w:id="142" w:name="_Toc495592637"/>
      <w:bookmarkStart w:id="143" w:name="_Toc6334"/>
      <w:bookmarkStart w:id="144" w:name="_Toc13754"/>
      <w:bookmarkStart w:id="145" w:name="_Toc1735"/>
      <w:bookmarkStart w:id="146" w:name="_Toc22341"/>
      <w:bookmarkStart w:id="147" w:name="_Toc27609"/>
      <w:bookmarkStart w:id="148" w:name="_Toc13103"/>
      <w:bookmarkStart w:id="149" w:name="_Toc8757"/>
      <w:bookmarkStart w:id="150" w:name="_Toc18755"/>
      <w:bookmarkStart w:id="151" w:name="_Toc31929"/>
      <w:bookmarkStart w:id="152" w:name="_Toc16646"/>
      <w:bookmarkStart w:id="153" w:name="_Toc493506283"/>
      <w:bookmarkStart w:id="154" w:name="_Toc27699"/>
      <w:bookmarkStart w:id="155" w:name="_Toc1625"/>
      <w:bookmarkStart w:id="156" w:name="_Toc7842"/>
      <w:bookmarkStart w:id="157" w:name="_Toc1195"/>
      <w:bookmarkStart w:id="158" w:name="_Toc48837299"/>
      <w:bookmarkStart w:id="159" w:name="_Toc5422"/>
      <w:bookmarkStart w:id="160" w:name="_Toc5759"/>
      <w:bookmarkStart w:id="161" w:name="_Toc32097"/>
      <w:r>
        <w:rPr>
          <w:rFonts w:hint="eastAsia" w:ascii="仿宋" w:hAnsi="仿宋" w:eastAsia="仿宋" w:cs="仿宋"/>
          <w:color w:val="auto"/>
          <w:highlight w:val="none"/>
        </w:rPr>
        <w:t>（</w:t>
      </w:r>
      <w:r>
        <w:rPr>
          <w:rFonts w:hint="eastAsia" w:ascii="仿宋" w:hAnsi="仿宋" w:eastAsia="仿宋" w:cs="仿宋"/>
          <w:color w:val="auto"/>
          <w:highlight w:val="none"/>
          <w:lang w:eastAsia="zh-CN"/>
        </w:rPr>
        <w:t>一</w:t>
      </w:r>
      <w:r>
        <w:rPr>
          <w:rFonts w:hint="eastAsia" w:ascii="仿宋" w:hAnsi="仿宋" w:eastAsia="仿宋" w:cs="仿宋"/>
          <w:color w:val="auto"/>
          <w:highlight w:val="none"/>
        </w:rPr>
        <w:t>）凡有意参加</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的</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，请自行在重庆市</w:t>
      </w:r>
      <w:r>
        <w:rPr>
          <w:rFonts w:hint="eastAsia" w:ascii="仿宋" w:hAnsi="仿宋" w:eastAsia="仿宋" w:cs="仿宋"/>
          <w:color w:val="auto"/>
          <w:highlight w:val="none"/>
          <w:lang w:eastAsia="zh-CN"/>
        </w:rPr>
        <w:t>巴南区第二人民医院官</w:t>
      </w:r>
      <w:r>
        <w:rPr>
          <w:rFonts w:hint="eastAsia" w:ascii="仿宋" w:hAnsi="仿宋" w:eastAsia="仿宋" w:cs="仿宋"/>
          <w:color w:val="auto"/>
          <w:highlight w:val="none"/>
        </w:rPr>
        <w:t>网上下载本项目</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文件以及补遗等</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前公布的所有项目资料，无论</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领取或下载与否，均视为已知晓所有</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实质性要求内容。</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二</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文件公告期限：</w:t>
      </w:r>
      <w:r>
        <w:rPr>
          <w:rFonts w:hint="eastAsia" w:ascii="仿宋" w:hAnsi="仿宋" w:eastAsia="仿宋" w:cs="仿宋"/>
          <w:color w:val="auto"/>
          <w:highlight w:val="none"/>
          <w:lang w:val="en-US" w:eastAsia="zh-CN"/>
        </w:rPr>
        <w:t>2026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9</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30</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2026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13</w:t>
      </w:r>
      <w:r>
        <w:rPr>
          <w:rFonts w:hint="eastAsia" w:ascii="仿宋" w:hAnsi="仿宋" w:eastAsia="仿宋" w:cs="仿宋"/>
          <w:color w:val="auto"/>
          <w:highlight w:val="none"/>
        </w:rPr>
        <w:t>日。</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（三</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须满足以下</w:t>
      </w:r>
      <w:r>
        <w:rPr>
          <w:rFonts w:hint="eastAsia" w:ascii="仿宋" w:hAnsi="仿宋" w:eastAsia="仿宋" w:cs="仿宋"/>
          <w:color w:val="auto"/>
          <w:highlight w:val="none"/>
          <w:lang w:eastAsia="zh-CN"/>
        </w:rPr>
        <w:t>两</w:t>
      </w:r>
      <w:r>
        <w:rPr>
          <w:rFonts w:hint="eastAsia" w:ascii="仿宋" w:hAnsi="仿宋" w:eastAsia="仿宋" w:cs="仿宋"/>
          <w:color w:val="auto"/>
          <w:highlight w:val="none"/>
        </w:rPr>
        <w:t>种要件，其响应文件才被接受：</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1、按时递交了响应文件；</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2、按时报名签到</w:t>
      </w:r>
      <w:r>
        <w:rPr>
          <w:rFonts w:hint="eastAsia" w:ascii="仿宋" w:hAnsi="仿宋" w:eastAsia="仿宋" w:cs="仿宋"/>
          <w:color w:val="auto"/>
          <w:highlight w:val="none"/>
          <w:lang w:eastAsia="zh-CN"/>
        </w:rPr>
        <w:t>。</w:t>
      </w:r>
    </w:p>
    <w:p>
      <w:pPr>
        <w:keepNext w:val="0"/>
        <w:keepLines w:val="0"/>
        <w:pageBreakBefore w:val="0"/>
        <w:widowControl w:val="0"/>
        <w:suppressLineNumbers w:val="0"/>
        <w:suppressAutoHyphens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四</w:t>
      </w:r>
      <w:r>
        <w:rPr>
          <w:rFonts w:hint="eastAsia" w:ascii="仿宋" w:hAnsi="仿宋" w:eastAsia="仿宋" w:cs="仿宋"/>
          <w:color w:val="auto"/>
          <w:highlight w:val="none"/>
        </w:rPr>
        <w:t>）递交响应文件地点：</w:t>
      </w:r>
      <w:r>
        <w:rPr>
          <w:rFonts w:hint="eastAsia" w:ascii="仿宋" w:hAnsi="仿宋" w:eastAsia="仿宋" w:cs="仿宋"/>
          <w:color w:val="auto"/>
          <w:highlight w:val="none"/>
          <w:lang w:eastAsia="zh-CN"/>
        </w:rPr>
        <w:t>重庆市巴南区第二人民医院采购办</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重庆市巴南区花溪街道花溪新村</w:t>
      </w: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rPr>
        <w:t>号）</w:t>
      </w:r>
      <w:r>
        <w:rPr>
          <w:rFonts w:hint="eastAsia" w:ascii="仿宋" w:hAnsi="仿宋" w:eastAsia="仿宋" w:cs="仿宋"/>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before="156" w:after="156" w:line="520" w:lineRule="exact"/>
        <w:ind w:firstLine="438" w:firstLineChars="200"/>
        <w:jc w:val="left"/>
        <w:textAlignment w:val="auto"/>
        <w:outlineLvl w:val="1"/>
        <w:rPr>
          <w:rFonts w:hint="eastAsia" w:ascii="仿宋" w:hAnsi="仿宋" w:eastAsia="仿宋" w:cs="仿宋"/>
          <w:color w:val="auto"/>
          <w:highlight w:val="none"/>
          <w:lang w:eastAsia="zh-CN"/>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五</w:t>
      </w:r>
      <w:r>
        <w:rPr>
          <w:rFonts w:hint="eastAsia" w:ascii="仿宋" w:hAnsi="仿宋" w:eastAsia="仿宋" w:cs="仿宋"/>
          <w:color w:val="auto"/>
          <w:highlight w:val="none"/>
        </w:rPr>
        <w:t>）响应文件递交起止时间：</w:t>
      </w:r>
      <w:r>
        <w:rPr>
          <w:rFonts w:hint="eastAsia" w:ascii="仿宋" w:hAnsi="仿宋" w:eastAsia="仿宋" w:cs="仿宋"/>
          <w:color w:val="auto"/>
          <w:highlight w:val="none"/>
          <w:lang w:val="en-US" w:eastAsia="zh-CN"/>
        </w:rPr>
        <w:t>2026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13</w:t>
      </w:r>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0</w:t>
      </w:r>
      <w:r>
        <w:rPr>
          <w:rFonts w:hint="eastAsia" w:ascii="仿宋" w:hAnsi="仿宋" w:eastAsia="仿宋" w:cs="仿宋"/>
          <w:color w:val="auto"/>
          <w:highlight w:val="none"/>
        </w:rPr>
        <w:t>0 ——</w:t>
      </w: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0</w:t>
      </w:r>
      <w:r>
        <w:rPr>
          <w:rFonts w:hint="eastAsia" w:ascii="仿宋" w:hAnsi="仿宋" w:eastAsia="仿宋" w:cs="仿宋"/>
          <w:color w:val="auto"/>
          <w:highlight w:val="none"/>
          <w:lang w:eastAsia="zh-CN"/>
        </w:rPr>
        <w:t>时；</w:t>
      </w:r>
      <w:r>
        <w:rPr>
          <w:rFonts w:hint="eastAsia" w:ascii="仿宋" w:hAnsi="仿宋" w:eastAsia="仿宋" w:cs="仿宋"/>
          <w:color w:val="auto"/>
          <w:highlight w:val="none"/>
        </w:rPr>
        <w:t>响应文件开启时间：</w:t>
      </w:r>
      <w:r>
        <w:rPr>
          <w:rFonts w:hint="eastAsia" w:ascii="仿宋" w:hAnsi="仿宋" w:eastAsia="仿宋" w:cs="仿宋"/>
          <w:color w:val="auto"/>
          <w:highlight w:val="none"/>
          <w:lang w:val="en-US" w:eastAsia="zh-CN"/>
        </w:rPr>
        <w:t>2026</w:t>
      </w:r>
      <w:r>
        <w:rPr>
          <w:rFonts w:hint="eastAsia" w:ascii="仿宋" w:hAnsi="仿宋" w:eastAsia="仿宋" w:cs="仿宋"/>
          <w:color w:val="auto"/>
          <w:highlight w:val="none"/>
        </w:rPr>
        <w:t>年</w:t>
      </w:r>
      <w:r>
        <w:rPr>
          <w:rFonts w:hint="eastAsia" w:ascii="仿宋" w:hAnsi="仿宋" w:eastAsia="仿宋" w:cs="仿宋"/>
          <w:color w:val="auto"/>
          <w:highlight w:val="none"/>
          <w:lang w:val="en-US" w:eastAsia="zh-CN"/>
        </w:rPr>
        <w:t>10</w:t>
      </w:r>
      <w:r>
        <w:rPr>
          <w:rFonts w:hint="eastAsia" w:ascii="仿宋" w:hAnsi="仿宋" w:eastAsia="仿宋" w:cs="仿宋"/>
          <w:color w:val="auto"/>
          <w:highlight w:val="none"/>
        </w:rPr>
        <w:t>月</w:t>
      </w:r>
      <w:r>
        <w:rPr>
          <w:rFonts w:hint="eastAsia" w:ascii="仿宋" w:hAnsi="仿宋" w:eastAsia="仿宋" w:cs="仿宋"/>
          <w:color w:val="auto"/>
          <w:highlight w:val="none"/>
          <w:lang w:val="en-US" w:eastAsia="zh-CN"/>
        </w:rPr>
        <w:t>13</w:t>
      </w:r>
      <w:bookmarkStart w:id="884" w:name="_GoBack"/>
      <w:bookmarkEnd w:id="884"/>
      <w:r>
        <w:rPr>
          <w:rFonts w:hint="eastAsia" w:ascii="仿宋" w:hAnsi="仿宋" w:eastAsia="仿宋" w:cs="仿宋"/>
          <w:color w:val="auto"/>
          <w:highlight w:val="none"/>
        </w:rPr>
        <w:t>日</w:t>
      </w:r>
      <w:r>
        <w:rPr>
          <w:rFonts w:hint="eastAsia" w:ascii="仿宋" w:hAnsi="仿宋" w:eastAsia="仿宋" w:cs="仿宋"/>
          <w:color w:val="auto"/>
          <w:highlight w:val="none"/>
          <w:lang w:val="en-US" w:eastAsia="zh-CN"/>
        </w:rPr>
        <w:t>14</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3</w:t>
      </w:r>
      <w:r>
        <w:rPr>
          <w:rFonts w:hint="eastAsia" w:ascii="仿宋" w:hAnsi="仿宋" w:eastAsia="仿宋" w:cs="仿宋"/>
          <w:color w:val="auto"/>
          <w:highlight w:val="none"/>
        </w:rPr>
        <w:t>0</w:t>
      </w:r>
      <w:r>
        <w:rPr>
          <w:rFonts w:hint="eastAsia" w:ascii="仿宋" w:hAnsi="仿宋" w:eastAsia="仿宋" w:cs="仿宋"/>
          <w:color w:val="auto"/>
          <w:highlight w:val="none"/>
          <w:lang w:eastAsia="zh-CN"/>
        </w:rPr>
        <w:t>。</w:t>
      </w:r>
    </w:p>
    <w:p>
      <w:pPr>
        <w:spacing w:before="156" w:after="156" w:line="520" w:lineRule="exact"/>
        <w:ind w:firstLine="438" w:firstLineChars="200"/>
        <w:jc w:val="left"/>
        <w:outlineLvl w:val="1"/>
        <w:rPr>
          <w:rFonts w:hint="eastAsia" w:ascii="仿宋" w:hAnsi="仿宋" w:eastAsia="仿宋" w:cs="仿宋"/>
          <w:b/>
          <w:bCs/>
          <w:color w:val="auto"/>
          <w:szCs w:val="28"/>
          <w:highlight w:val="none"/>
          <w:lang w:eastAsia="zh-CN"/>
        </w:rPr>
      </w:pPr>
      <w:r>
        <w:rPr>
          <w:rFonts w:hint="eastAsia" w:ascii="仿宋" w:hAnsi="仿宋" w:eastAsia="仿宋" w:cs="仿宋"/>
          <w:b/>
          <w:bCs/>
          <w:color w:val="auto"/>
          <w:szCs w:val="28"/>
          <w:highlight w:val="none"/>
          <w:lang w:eastAsia="zh-CN"/>
        </w:rPr>
        <w:t>四</w:t>
      </w:r>
      <w:r>
        <w:rPr>
          <w:rFonts w:hint="eastAsia" w:ascii="仿宋" w:hAnsi="仿宋" w:eastAsia="仿宋" w:cs="仿宋"/>
          <w:b/>
          <w:bCs/>
          <w:color w:val="auto"/>
          <w:szCs w:val="28"/>
          <w:highlight w:val="none"/>
        </w:rPr>
        <w:t>、</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Fonts w:hint="eastAsia" w:ascii="仿宋" w:hAnsi="仿宋" w:eastAsia="仿宋" w:cs="仿宋"/>
          <w:b/>
          <w:bCs/>
          <w:color w:val="auto"/>
          <w:szCs w:val="28"/>
          <w:highlight w:val="none"/>
          <w:lang w:eastAsia="zh-CN"/>
        </w:rPr>
        <w:t>投标保证金</w:t>
      </w:r>
    </w:p>
    <w:p>
      <w:pPr>
        <w:pStyle w:val="13"/>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kern w:val="2"/>
          <w:sz w:val="24"/>
          <w:szCs w:val="20"/>
          <w:highlight w:val="none"/>
          <w:lang w:val="en-US" w:eastAsia="zh-CN" w:bidi="ar-SA"/>
        </w:rPr>
      </w:pPr>
      <w:r>
        <w:rPr>
          <w:rFonts w:hint="eastAsia" w:ascii="仿宋" w:hAnsi="仿宋" w:eastAsia="仿宋" w:cs="仿宋"/>
          <w:color w:val="auto"/>
          <w:kern w:val="2"/>
          <w:sz w:val="24"/>
          <w:szCs w:val="20"/>
          <w:highlight w:val="none"/>
          <w:lang w:val="en-US" w:eastAsia="zh-CN" w:bidi="ar-SA"/>
        </w:rPr>
        <w:t>无</w:t>
      </w:r>
    </w:p>
    <w:p>
      <w:pPr>
        <w:spacing w:before="156" w:after="156" w:line="520" w:lineRule="exact"/>
        <w:ind w:firstLine="438" w:firstLineChars="200"/>
        <w:jc w:val="left"/>
        <w:outlineLvl w:val="1"/>
        <w:rPr>
          <w:rFonts w:hint="eastAsia" w:ascii="仿宋" w:hAnsi="仿宋" w:eastAsia="仿宋" w:cs="仿宋"/>
          <w:b/>
          <w:bCs/>
          <w:color w:val="auto"/>
          <w:szCs w:val="28"/>
          <w:highlight w:val="none"/>
        </w:rPr>
      </w:pPr>
      <w:bookmarkStart w:id="162" w:name="_Toc7973"/>
      <w:bookmarkStart w:id="163" w:name="_Toc13814"/>
      <w:bookmarkStart w:id="164" w:name="_Toc1558"/>
      <w:bookmarkStart w:id="165" w:name="_Toc14053"/>
      <w:bookmarkStart w:id="166" w:name="_Toc6190"/>
      <w:bookmarkStart w:id="167" w:name="_Toc28126"/>
      <w:bookmarkStart w:id="168" w:name="_Toc5685"/>
      <w:bookmarkStart w:id="169" w:name="_Toc12289"/>
      <w:bookmarkStart w:id="170" w:name="_Toc27985"/>
      <w:bookmarkStart w:id="171" w:name="_Toc23216"/>
      <w:bookmarkStart w:id="172" w:name="_Toc7162"/>
      <w:bookmarkStart w:id="173" w:name="_Toc3572"/>
      <w:bookmarkStart w:id="174" w:name="_Toc13480"/>
      <w:bookmarkStart w:id="175" w:name="_Toc12036"/>
      <w:bookmarkStart w:id="176" w:name="_Toc21143"/>
      <w:bookmarkStart w:id="177" w:name="_Toc7014"/>
      <w:bookmarkStart w:id="178" w:name="_Toc22561"/>
      <w:bookmarkStart w:id="179" w:name="_Toc7003"/>
      <w:bookmarkStart w:id="180" w:name="_Toc32044"/>
      <w:bookmarkStart w:id="181" w:name="_Toc48837300"/>
      <w:bookmarkStart w:id="182" w:name="_Toc4707"/>
      <w:bookmarkStart w:id="183" w:name="_Toc13392"/>
      <w:bookmarkStart w:id="184" w:name="_Toc13173"/>
      <w:bookmarkStart w:id="185" w:name="_Toc14448"/>
      <w:bookmarkStart w:id="186" w:name="_Toc14132"/>
      <w:bookmarkStart w:id="187" w:name="_Toc9050"/>
      <w:bookmarkStart w:id="188" w:name="_Toc15052"/>
      <w:bookmarkStart w:id="189" w:name="_Toc409189614"/>
      <w:r>
        <w:rPr>
          <w:rFonts w:hint="eastAsia" w:ascii="仿宋" w:hAnsi="仿宋" w:eastAsia="仿宋" w:cs="仿宋"/>
          <w:b/>
          <w:bCs/>
          <w:color w:val="auto"/>
          <w:szCs w:val="28"/>
          <w:highlight w:val="none"/>
          <w:lang w:eastAsia="zh-CN"/>
        </w:rPr>
        <w:t>五</w:t>
      </w:r>
      <w:r>
        <w:rPr>
          <w:rFonts w:hint="eastAsia" w:ascii="仿宋" w:hAnsi="仿宋" w:eastAsia="仿宋" w:cs="仿宋"/>
          <w:b/>
          <w:bCs/>
          <w:color w:val="auto"/>
          <w:szCs w:val="28"/>
          <w:highlight w:val="none"/>
        </w:rPr>
        <w:t>、</w:t>
      </w:r>
      <w:r>
        <w:rPr>
          <w:rFonts w:hint="eastAsia" w:ascii="仿宋" w:hAnsi="仿宋" w:eastAsia="仿宋" w:cs="仿宋"/>
          <w:b/>
          <w:bCs/>
          <w:color w:val="auto"/>
          <w:szCs w:val="28"/>
          <w:highlight w:val="none"/>
          <w:lang w:eastAsia="zh-CN"/>
        </w:rPr>
        <w:t>遴选</w:t>
      </w:r>
      <w:r>
        <w:rPr>
          <w:rFonts w:hint="eastAsia" w:ascii="仿宋" w:hAnsi="仿宋" w:eastAsia="仿宋" w:cs="仿宋"/>
          <w:b/>
          <w:bCs/>
          <w:color w:val="auto"/>
          <w:szCs w:val="28"/>
          <w:highlight w:val="none"/>
        </w:rPr>
        <w:t>有关规定</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（一）单位负责人为同一人或者存在直接控股、管理关系的不同供应商，不得参加同一合同项（包）下的采购活动。</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（二）为采购项目提供整体设计、规范编制或者项目管理、监理、检测等服务的供应商，不得再参加该采购项目的其他采购活动。</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三</w:t>
      </w:r>
      <w:r>
        <w:rPr>
          <w:rFonts w:hint="eastAsia" w:ascii="仿宋" w:hAnsi="仿宋" w:eastAsia="仿宋" w:cs="仿宋"/>
          <w:color w:val="auto"/>
          <w:highlight w:val="none"/>
        </w:rPr>
        <w:t>）超过规定时间送达或未按要求密封和标记的投标文件不予受理</w:t>
      </w:r>
      <w:r>
        <w:rPr>
          <w:rFonts w:hint="eastAsia" w:ascii="仿宋" w:hAnsi="仿宋" w:eastAsia="仿宋" w:cs="仿宋"/>
          <w:color w:val="auto"/>
          <w:highlight w:val="none"/>
          <w:lang w:eastAsia="zh-CN"/>
        </w:rPr>
        <w:t>，投标文件一经收取不予退还</w:t>
      </w:r>
      <w:r>
        <w:rPr>
          <w:rFonts w:hint="eastAsia" w:ascii="仿宋" w:hAnsi="仿宋" w:eastAsia="仿宋" w:cs="仿宋"/>
          <w:color w:val="auto"/>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四</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应</w:t>
      </w:r>
      <w:r>
        <w:rPr>
          <w:rFonts w:hint="eastAsia" w:ascii="仿宋" w:hAnsi="仿宋" w:eastAsia="仿宋" w:cs="仿宋"/>
          <w:color w:val="auto"/>
          <w:highlight w:val="none"/>
          <w:lang w:val="en-US" w:eastAsia="zh-CN"/>
        </w:rPr>
        <w:t>充分了解该项目实施环境，</w:t>
      </w:r>
      <w:r>
        <w:rPr>
          <w:rFonts w:hint="eastAsia" w:ascii="仿宋" w:hAnsi="仿宋" w:eastAsia="仿宋" w:cs="仿宋"/>
          <w:color w:val="auto"/>
          <w:highlight w:val="none"/>
        </w:rPr>
        <w:t>对本项目的风险和义务</w:t>
      </w:r>
      <w:r>
        <w:rPr>
          <w:rFonts w:hint="eastAsia" w:ascii="仿宋" w:hAnsi="仿宋" w:eastAsia="仿宋" w:cs="仿宋"/>
          <w:color w:val="auto"/>
          <w:highlight w:val="none"/>
          <w:lang w:val="en-US" w:eastAsia="zh-CN"/>
        </w:rPr>
        <w:t>应充分</w:t>
      </w:r>
      <w:r>
        <w:rPr>
          <w:rFonts w:hint="eastAsia" w:ascii="仿宋" w:hAnsi="仿宋" w:eastAsia="仿宋" w:cs="仿宋"/>
          <w:color w:val="auto"/>
          <w:highlight w:val="none"/>
        </w:rPr>
        <w:t>了解，并在其投标文件中</w:t>
      </w:r>
      <w:r>
        <w:rPr>
          <w:rFonts w:hint="eastAsia" w:ascii="仿宋" w:hAnsi="仿宋" w:eastAsia="仿宋" w:cs="仿宋"/>
          <w:color w:val="auto"/>
          <w:highlight w:val="none"/>
          <w:lang w:val="en-US" w:eastAsia="zh-CN"/>
        </w:rPr>
        <w:t>体现</w:t>
      </w:r>
      <w:r>
        <w:rPr>
          <w:rFonts w:hint="eastAsia" w:ascii="仿宋" w:hAnsi="仿宋" w:eastAsia="仿宋" w:cs="仿宋"/>
          <w:color w:val="auto"/>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五</w:t>
      </w:r>
      <w:r>
        <w:rPr>
          <w:rFonts w:hint="eastAsia" w:ascii="仿宋" w:hAnsi="仿宋" w:eastAsia="仿宋" w:cs="仿宋"/>
          <w:color w:val="auto"/>
          <w:highlight w:val="none"/>
        </w:rPr>
        <w:t>）</w:t>
      </w:r>
      <w:r>
        <w:rPr>
          <w:rFonts w:hint="eastAsia" w:ascii="仿宋" w:hAnsi="仿宋" w:eastAsia="仿宋" w:cs="仿宋"/>
          <w:color w:val="auto"/>
          <w:highlight w:val="none"/>
          <w:lang w:eastAsia="zh-CN"/>
        </w:rPr>
        <w:t>竞选人</w:t>
      </w:r>
      <w:r>
        <w:rPr>
          <w:rFonts w:hint="eastAsia" w:ascii="仿宋" w:hAnsi="仿宋" w:eastAsia="仿宋" w:cs="仿宋"/>
          <w:color w:val="auto"/>
          <w:highlight w:val="none"/>
        </w:rPr>
        <w:t>自行承担参加本项目的全部费用</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责任和风险。</w:t>
      </w:r>
    </w:p>
    <w:p>
      <w:pPr>
        <w:spacing w:line="400" w:lineRule="exact"/>
        <w:ind w:firstLine="438" w:firstLineChars="200"/>
        <w:rPr>
          <w:rFonts w:hint="eastAsia" w:ascii="仿宋" w:hAnsi="仿宋" w:eastAsia="仿宋" w:cs="仿宋"/>
          <w:color w:val="auto"/>
          <w:highlight w:val="none"/>
        </w:rPr>
      </w:pPr>
      <w:r>
        <w:rPr>
          <w:rFonts w:hint="eastAsia" w:ascii="仿宋" w:hAnsi="仿宋" w:eastAsia="仿宋" w:cs="仿宋"/>
          <w:color w:val="auto"/>
          <w:highlight w:val="none"/>
        </w:rPr>
        <w:t>（六）本项目不接受联合体参与</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，否则按无效处理</w:t>
      </w:r>
      <w:r>
        <w:rPr>
          <w:rFonts w:hint="eastAsia" w:ascii="仿宋" w:hAnsi="仿宋" w:eastAsia="仿宋" w:cs="仿宋"/>
          <w:color w:val="auto"/>
          <w:highlight w:val="none"/>
          <w:lang w:eastAsia="zh-CN"/>
        </w:rPr>
        <w:t>，遴选</w:t>
      </w:r>
      <w:r>
        <w:rPr>
          <w:rFonts w:hint="eastAsia" w:ascii="仿宋" w:hAnsi="仿宋" w:eastAsia="仿宋" w:cs="仿宋"/>
          <w:color w:val="auto"/>
          <w:highlight w:val="none"/>
        </w:rPr>
        <w:t>文件中联合体组成相关条款不生效。</w:t>
      </w:r>
    </w:p>
    <w:p>
      <w:pPr>
        <w:spacing w:line="400" w:lineRule="exact"/>
        <w:ind w:firstLine="438" w:firstLineChars="200"/>
        <w:rPr>
          <w:rFonts w:hint="eastAsia" w:ascii="仿宋" w:hAnsi="仿宋" w:eastAsia="仿宋" w:cs="仿宋"/>
          <w:color w:val="auto"/>
          <w:highlight w:val="none"/>
        </w:rPr>
      </w:pPr>
      <w:r>
        <w:rPr>
          <w:rFonts w:hint="eastAsia" w:ascii="仿宋" w:hAnsi="仿宋" w:eastAsia="仿宋" w:cs="仿宋"/>
          <w:color w:val="auto"/>
          <w:highlight w:val="none"/>
        </w:rPr>
        <w:t>（七）本项目不接受合同分包，否则按无效处理。</w:t>
      </w:r>
    </w:p>
    <w:p>
      <w:pPr>
        <w:spacing w:line="520" w:lineRule="exact"/>
        <w:ind w:firstLine="438" w:firstLineChars="200"/>
        <w:jc w:val="both"/>
        <w:rPr>
          <w:rFonts w:hint="eastAsia" w:ascii="仿宋" w:hAnsi="仿宋" w:eastAsia="仿宋" w:cs="仿宋"/>
          <w:color w:val="auto"/>
          <w:kern w:val="0"/>
          <w:szCs w:val="28"/>
          <w:highlight w:val="none"/>
        </w:rPr>
      </w:pPr>
      <w:r>
        <w:rPr>
          <w:rFonts w:hint="eastAsia" w:ascii="仿宋" w:hAnsi="仿宋" w:eastAsia="仿宋" w:cs="仿宋"/>
          <w:color w:val="auto"/>
          <w:kern w:val="0"/>
          <w:szCs w:val="28"/>
          <w:highlight w:val="none"/>
        </w:rPr>
        <w:t>（</w:t>
      </w:r>
      <w:r>
        <w:rPr>
          <w:rFonts w:hint="eastAsia" w:ascii="仿宋" w:hAnsi="仿宋" w:eastAsia="仿宋" w:cs="仿宋"/>
          <w:color w:val="auto"/>
          <w:kern w:val="0"/>
          <w:szCs w:val="28"/>
          <w:highlight w:val="none"/>
          <w:lang w:eastAsia="zh-CN"/>
        </w:rPr>
        <w:t>八</w:t>
      </w:r>
      <w:r>
        <w:rPr>
          <w:rFonts w:hint="eastAsia" w:ascii="仿宋" w:hAnsi="仿宋" w:eastAsia="仿宋" w:cs="仿宋"/>
          <w:color w:val="auto"/>
          <w:kern w:val="0"/>
          <w:szCs w:val="28"/>
          <w:highlight w:val="none"/>
        </w:rPr>
        <w:t>）</w:t>
      </w:r>
      <w:r>
        <w:rPr>
          <w:rFonts w:hint="eastAsia" w:ascii="仿宋" w:hAnsi="仿宋" w:eastAsia="仿宋" w:cs="仿宋"/>
          <w:color w:val="auto"/>
          <w:highlight w:val="none"/>
          <w:lang w:val="en-US" w:eastAsia="zh-CN"/>
        </w:rPr>
        <w:t>在公开遴选文件获取期限内获取了公开遴选文件的潜在竞选人，才算参与本项目采购活动的竞选人。</w:t>
      </w:r>
    </w:p>
    <w:p>
      <w:pPr>
        <w:spacing w:line="400" w:lineRule="exact"/>
        <w:ind w:firstLine="438" w:firstLineChars="200"/>
        <w:rPr>
          <w:rFonts w:hint="eastAsia" w:ascii="仿宋" w:hAnsi="仿宋" w:eastAsia="仿宋" w:cs="仿宋"/>
          <w:color w:val="auto"/>
          <w:highlight w:val="none"/>
          <w:lang w:eastAsia="zh-CN"/>
        </w:rPr>
      </w:pPr>
      <w:bookmarkStart w:id="190" w:name="_Toc27061"/>
      <w:bookmarkStart w:id="191" w:name="_Toc15623"/>
      <w:bookmarkStart w:id="192" w:name="_Toc31253"/>
      <w:bookmarkStart w:id="193" w:name="_Toc30321"/>
      <w:bookmarkStart w:id="194" w:name="_Toc12314"/>
      <w:bookmarkStart w:id="195" w:name="_Toc29353"/>
      <w:bookmarkStart w:id="196" w:name="_Toc1985"/>
      <w:bookmarkStart w:id="197" w:name="_Toc30465"/>
      <w:bookmarkStart w:id="198" w:name="_Toc896"/>
      <w:bookmarkStart w:id="199" w:name="_Toc16069"/>
      <w:bookmarkStart w:id="200" w:name="_Toc6822"/>
      <w:bookmarkStart w:id="201" w:name="_Toc2063"/>
      <w:bookmarkStart w:id="202" w:name="_Toc18960"/>
      <w:bookmarkStart w:id="203" w:name="_Toc7931"/>
      <w:bookmarkStart w:id="204" w:name="_Toc27349"/>
      <w:bookmarkStart w:id="205" w:name="_Toc28422"/>
      <w:bookmarkStart w:id="206" w:name="_Toc5673"/>
      <w:bookmarkStart w:id="207" w:name="_Toc30472"/>
      <w:bookmarkStart w:id="208" w:name="_Toc22782"/>
      <w:bookmarkStart w:id="209" w:name="_Toc12603"/>
      <w:bookmarkStart w:id="210" w:name="_Toc333"/>
      <w:bookmarkStart w:id="211" w:name="_Toc16081"/>
      <w:bookmarkStart w:id="212" w:name="_Toc12842"/>
      <w:bookmarkStart w:id="213" w:name="_Toc3329"/>
      <w:bookmarkStart w:id="214" w:name="_Toc768"/>
      <w:bookmarkStart w:id="215" w:name="_Toc22193"/>
      <w:bookmarkStart w:id="216" w:name="_Toc48837301"/>
      <w:r>
        <w:rPr>
          <w:rFonts w:hint="eastAsia" w:ascii="仿宋" w:hAnsi="仿宋" w:eastAsia="仿宋" w:cs="仿宋"/>
          <w:color w:val="auto"/>
          <w:highlight w:val="none"/>
          <w:lang w:eastAsia="zh-CN"/>
        </w:rPr>
        <w:t>（九）</w:t>
      </w:r>
      <w:r>
        <w:rPr>
          <w:rFonts w:hint="eastAsia" w:ascii="仿宋" w:hAnsi="仿宋" w:eastAsia="仿宋" w:cs="仿宋"/>
          <w:color w:val="auto"/>
          <w:highlight w:val="none"/>
        </w:rPr>
        <w:t>特别说明：本</w:t>
      </w:r>
      <w:r>
        <w:rPr>
          <w:rFonts w:hint="eastAsia" w:ascii="仿宋" w:hAnsi="仿宋" w:eastAsia="仿宋" w:cs="仿宋"/>
          <w:color w:val="auto"/>
          <w:highlight w:val="none"/>
          <w:lang w:eastAsia="zh-CN"/>
        </w:rPr>
        <w:t>公开遴选文件</w:t>
      </w:r>
      <w:r>
        <w:rPr>
          <w:rFonts w:hint="eastAsia" w:ascii="仿宋" w:hAnsi="仿宋" w:eastAsia="仿宋" w:cs="仿宋"/>
          <w:color w:val="auto"/>
          <w:highlight w:val="none"/>
        </w:rPr>
        <w:t>最终解释权归</w:t>
      </w:r>
      <w:r>
        <w:rPr>
          <w:rFonts w:hint="eastAsia" w:ascii="仿宋" w:hAnsi="仿宋" w:eastAsia="仿宋" w:cs="仿宋"/>
          <w:color w:val="auto"/>
          <w:highlight w:val="none"/>
          <w:lang w:eastAsia="zh-CN"/>
        </w:rPr>
        <w:t>遴选人</w:t>
      </w:r>
      <w:r>
        <w:rPr>
          <w:rFonts w:hint="eastAsia" w:ascii="仿宋" w:hAnsi="仿宋" w:eastAsia="仿宋" w:cs="仿宋"/>
          <w:color w:val="auto"/>
          <w:highlight w:val="none"/>
        </w:rPr>
        <w:t>。</w:t>
      </w:r>
    </w:p>
    <w:p>
      <w:pPr>
        <w:spacing w:before="156" w:after="156" w:line="520" w:lineRule="exact"/>
        <w:ind w:firstLine="438" w:firstLineChars="200"/>
        <w:jc w:val="left"/>
        <w:outlineLvl w:val="1"/>
        <w:rPr>
          <w:rFonts w:hint="eastAsia" w:ascii="仿宋" w:hAnsi="仿宋" w:eastAsia="仿宋" w:cs="仿宋"/>
          <w:b/>
          <w:bCs/>
          <w:color w:val="auto"/>
          <w:szCs w:val="28"/>
          <w:highlight w:val="none"/>
        </w:rPr>
      </w:pPr>
      <w:r>
        <w:rPr>
          <w:rFonts w:hint="eastAsia" w:ascii="仿宋" w:hAnsi="仿宋" w:eastAsia="仿宋" w:cs="仿宋"/>
          <w:b/>
          <w:bCs/>
          <w:color w:val="auto"/>
          <w:szCs w:val="28"/>
          <w:highlight w:val="none"/>
          <w:lang w:eastAsia="zh-CN"/>
        </w:rPr>
        <w:t>六</w:t>
      </w:r>
      <w:r>
        <w:rPr>
          <w:rFonts w:hint="eastAsia" w:ascii="仿宋" w:hAnsi="仿宋" w:eastAsia="仿宋" w:cs="仿宋"/>
          <w:b/>
          <w:bCs/>
          <w:color w:val="auto"/>
          <w:szCs w:val="28"/>
          <w:highlight w:val="none"/>
        </w:rPr>
        <w:t>、联系方式</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ind w:firstLine="438" w:firstLineChars="200"/>
        <w:rPr>
          <w:rFonts w:hint="eastAsia" w:ascii="仿宋" w:hAnsi="仿宋" w:eastAsia="仿宋" w:cs="仿宋"/>
          <w:color w:val="auto"/>
          <w:highlight w:val="none"/>
        </w:rPr>
      </w:pPr>
      <w:bookmarkStart w:id="217" w:name="_Toc11698"/>
      <w:bookmarkStart w:id="218" w:name="_Toc7482"/>
      <w:bookmarkStart w:id="219" w:name="_Toc21409"/>
      <w:bookmarkStart w:id="220" w:name="_Toc2578"/>
      <w:bookmarkStart w:id="221" w:name="_Toc2022"/>
      <w:bookmarkStart w:id="222" w:name="_Toc8199"/>
      <w:bookmarkStart w:id="223" w:name="_Toc7350"/>
      <w:bookmarkStart w:id="224" w:name="_Toc7322"/>
      <w:bookmarkStart w:id="225" w:name="_Toc23459"/>
      <w:bookmarkStart w:id="226" w:name="_Toc20171"/>
      <w:bookmarkStart w:id="227" w:name="_Toc1822"/>
      <w:bookmarkStart w:id="228" w:name="_Toc5040"/>
      <w:bookmarkStart w:id="229" w:name="_Toc31928"/>
      <w:r>
        <w:rPr>
          <w:rFonts w:hint="eastAsia" w:ascii="仿宋" w:hAnsi="仿宋" w:eastAsia="仿宋" w:cs="仿宋"/>
          <w:color w:val="auto"/>
          <w:highlight w:val="none"/>
        </w:rPr>
        <w:t>重庆市巴南区第二人民医院</w:t>
      </w:r>
    </w:p>
    <w:p>
      <w:pPr>
        <w:ind w:firstLine="438"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rPr>
        <w:t>联系人：</w:t>
      </w:r>
      <w:r>
        <w:rPr>
          <w:rFonts w:hint="eastAsia" w:ascii="仿宋" w:hAnsi="仿宋" w:eastAsia="仿宋" w:cs="仿宋"/>
          <w:color w:val="auto"/>
          <w:highlight w:val="none"/>
          <w:lang w:eastAsia="zh-CN"/>
        </w:rPr>
        <w:t>技术参数咨询</w:t>
      </w:r>
      <w:r>
        <w:rPr>
          <w:rFonts w:hint="eastAsia" w:ascii="仿宋" w:hAnsi="仿宋" w:eastAsia="仿宋" w:cs="仿宋"/>
          <w:color w:val="auto"/>
          <w:highlight w:val="none"/>
          <w:lang w:val="en-US" w:eastAsia="zh-CN"/>
        </w:rPr>
        <w:t>黄</w:t>
      </w:r>
      <w:r>
        <w:rPr>
          <w:rFonts w:hint="eastAsia" w:ascii="仿宋" w:hAnsi="仿宋" w:eastAsia="仿宋" w:cs="仿宋"/>
          <w:color w:val="auto"/>
          <w:highlight w:val="none"/>
        </w:rPr>
        <w:t>老师</w:t>
      </w:r>
      <w:r>
        <w:rPr>
          <w:rFonts w:hint="eastAsia" w:ascii="仿宋" w:hAnsi="仿宋" w:eastAsia="仿宋" w:cs="仿宋"/>
          <w:color w:val="auto"/>
          <w:highlight w:val="none"/>
          <w:lang w:eastAsia="zh-CN"/>
        </w:rPr>
        <w:t>（护理部</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rPr>
        <w:t xml:space="preserve">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 xml:space="preserve"> 联系电话：</w:t>
      </w:r>
      <w:r>
        <w:rPr>
          <w:rFonts w:hint="eastAsia" w:ascii="仿宋" w:hAnsi="仿宋" w:eastAsia="仿宋" w:cs="仿宋"/>
          <w:color w:val="auto"/>
          <w:highlight w:val="none"/>
          <w:lang w:val="en-US" w:eastAsia="zh-CN"/>
        </w:rPr>
        <w:t>62866844</w:t>
      </w:r>
    </w:p>
    <w:p>
      <w:pPr>
        <w:ind w:firstLine="438" w:firstLineChars="200"/>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 xml:space="preserve">        </w:t>
      </w:r>
      <w:r>
        <w:rPr>
          <w:rFonts w:hint="eastAsia" w:ascii="仿宋" w:hAnsi="仿宋" w:eastAsia="仿宋" w:cs="仿宋"/>
          <w:color w:val="auto"/>
          <w:highlight w:val="none"/>
          <w:lang w:eastAsia="zh-CN"/>
        </w:rPr>
        <w:t>采购文件制作吴</w:t>
      </w:r>
      <w:r>
        <w:rPr>
          <w:rFonts w:hint="eastAsia" w:ascii="仿宋" w:hAnsi="仿宋" w:eastAsia="仿宋" w:cs="仿宋"/>
          <w:color w:val="auto"/>
          <w:highlight w:val="none"/>
        </w:rPr>
        <w:t>老师</w:t>
      </w:r>
      <w:r>
        <w:rPr>
          <w:rFonts w:hint="eastAsia" w:ascii="仿宋" w:hAnsi="仿宋" w:eastAsia="仿宋" w:cs="仿宋"/>
          <w:color w:val="auto"/>
          <w:highlight w:val="none"/>
          <w:lang w:eastAsia="zh-CN"/>
        </w:rPr>
        <w:t>（财务科</w:t>
      </w:r>
      <w:r>
        <w:rPr>
          <w:rFonts w:hint="eastAsia" w:ascii="仿宋" w:hAnsi="仿宋" w:eastAsia="仿宋" w:cs="仿宋"/>
          <w:color w:val="auto"/>
          <w:highlight w:val="none"/>
          <w:lang w:val="en-US" w:eastAsia="zh-CN"/>
        </w:rPr>
        <w:t>-</w:t>
      </w:r>
      <w:r>
        <w:rPr>
          <w:rFonts w:hint="eastAsia" w:ascii="仿宋" w:hAnsi="仿宋" w:eastAsia="仿宋" w:cs="仿宋"/>
          <w:color w:val="auto"/>
          <w:highlight w:val="none"/>
          <w:lang w:eastAsia="zh-CN"/>
        </w:rPr>
        <w:t>采购组）</w:t>
      </w:r>
      <w:r>
        <w:rPr>
          <w:rFonts w:hint="eastAsia" w:ascii="仿宋" w:hAnsi="仿宋" w:eastAsia="仿宋" w:cs="仿宋"/>
          <w:color w:val="auto"/>
          <w:highlight w:val="none"/>
        </w:rPr>
        <w:t xml:space="preserve">          </w:t>
      </w:r>
      <w:r>
        <w:rPr>
          <w:rFonts w:hint="eastAsia" w:ascii="仿宋" w:hAnsi="仿宋" w:eastAsia="仿宋" w:cs="仿宋"/>
          <w:color w:val="auto"/>
          <w:highlight w:val="none"/>
          <w:lang w:val="en-US" w:eastAsia="zh-CN"/>
        </w:rPr>
        <w:t xml:space="preserve">         </w:t>
      </w:r>
      <w:r>
        <w:rPr>
          <w:rFonts w:hint="eastAsia" w:ascii="仿宋" w:hAnsi="仿宋" w:eastAsia="仿宋" w:cs="仿宋"/>
          <w:color w:val="auto"/>
          <w:highlight w:val="none"/>
        </w:rPr>
        <w:t xml:space="preserve"> 联系电话：</w:t>
      </w:r>
      <w:r>
        <w:rPr>
          <w:rFonts w:hint="eastAsia" w:ascii="仿宋" w:hAnsi="仿宋" w:eastAsia="仿宋" w:cs="仿宋"/>
          <w:color w:val="auto"/>
          <w:highlight w:val="none"/>
          <w:lang w:val="en-US" w:eastAsia="zh-CN"/>
        </w:rPr>
        <w:t>62867363</w:t>
      </w:r>
    </w:p>
    <w:p>
      <w:pPr>
        <w:ind w:firstLine="438" w:firstLineChars="200"/>
        <w:rPr>
          <w:rFonts w:hint="eastAsia" w:ascii="仿宋" w:hAnsi="仿宋" w:eastAsia="仿宋" w:cs="仿宋"/>
          <w:color w:val="auto"/>
          <w:highlight w:val="none"/>
        </w:rPr>
      </w:pPr>
    </w:p>
    <w:p>
      <w:pPr>
        <w:ind w:firstLine="5913" w:firstLineChars="2700"/>
        <w:rPr>
          <w:rFonts w:hint="eastAsia" w:ascii="仿宋" w:hAnsi="仿宋" w:eastAsia="仿宋" w:cs="仿宋"/>
          <w:color w:val="auto"/>
          <w:highlight w:val="none"/>
        </w:rPr>
      </w:pPr>
      <w:r>
        <w:rPr>
          <w:rFonts w:hint="eastAsia" w:ascii="仿宋" w:hAnsi="仿宋" w:eastAsia="仿宋" w:cs="仿宋"/>
          <w:color w:val="auto"/>
          <w:highlight w:val="none"/>
        </w:rPr>
        <w:t>重庆市巴南区第二人民医院</w:t>
      </w:r>
    </w:p>
    <w:p>
      <w:pPr>
        <w:ind w:firstLine="438" w:firstLineChars="200"/>
        <w:rPr>
          <w:rFonts w:hint="eastAsia" w:ascii="仿宋" w:hAnsi="仿宋" w:eastAsia="仿宋" w:cs="仿宋"/>
          <w:color w:val="auto"/>
          <w:highlight w:val="none"/>
        </w:rPr>
      </w:pPr>
      <w:r>
        <w:rPr>
          <w:rFonts w:hint="eastAsia" w:ascii="仿宋" w:hAnsi="仿宋" w:eastAsia="仿宋" w:cs="仿宋"/>
          <w:color w:val="auto"/>
          <w:highlight w:val="none"/>
        </w:rPr>
        <w:t xml:space="preserve">                               </w:t>
      </w:r>
      <w:r>
        <w:rPr>
          <w:rFonts w:hint="eastAsia" w:ascii="仿宋" w:hAnsi="仿宋" w:eastAsia="仿宋" w:cs="仿宋"/>
          <w:color w:val="auto"/>
          <w:highlight w:val="none"/>
          <w:lang w:val="en-US" w:eastAsia="zh-CN"/>
        </w:rPr>
        <w:t xml:space="preserve">               </w:t>
      </w:r>
    </w:p>
    <w:p>
      <w:pPr>
        <w:ind w:firstLine="438" w:firstLineChars="200"/>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13"/>
        <w:rPr>
          <w:color w:val="auto"/>
          <w:highlight w:val="none"/>
        </w:rPr>
      </w:pPr>
    </w:p>
    <w:p>
      <w:pPr>
        <w:pStyle w:val="3"/>
        <w:numPr>
          <w:ilvl w:val="0"/>
          <w:numId w:val="0"/>
        </w:numPr>
        <w:tabs>
          <w:tab w:val="clear" w:pos="3360"/>
        </w:tabs>
        <w:spacing w:before="120" w:after="120"/>
        <w:ind w:leftChars="0"/>
        <w:rPr>
          <w:rFonts w:hint="eastAsia"/>
          <w:color w:val="auto"/>
          <w:szCs w:val="22"/>
          <w:highlight w:val="none"/>
          <w:lang w:eastAsia="zh-CN"/>
        </w:rPr>
      </w:pPr>
    </w:p>
    <w:p>
      <w:pPr>
        <w:pStyle w:val="3"/>
        <w:numPr>
          <w:ilvl w:val="0"/>
          <w:numId w:val="0"/>
        </w:numPr>
        <w:tabs>
          <w:tab w:val="clear" w:pos="3360"/>
        </w:tabs>
        <w:spacing w:before="120" w:after="120"/>
        <w:ind w:leftChars="0"/>
        <w:jc w:val="both"/>
        <w:rPr>
          <w:rFonts w:hint="eastAsia"/>
          <w:color w:val="auto"/>
          <w:szCs w:val="22"/>
          <w:highlight w:val="none"/>
          <w:lang w:eastAsia="zh-CN"/>
        </w:rPr>
      </w:pPr>
    </w:p>
    <w:p>
      <w:pPr>
        <w:rPr>
          <w:rFonts w:hint="eastAsia"/>
          <w:color w:val="auto"/>
          <w:szCs w:val="22"/>
          <w:highlight w:val="none"/>
          <w:lang w:eastAsia="zh-CN"/>
        </w:rPr>
      </w:pPr>
    </w:p>
    <w:p>
      <w:pPr>
        <w:pStyle w:val="3"/>
        <w:numPr>
          <w:ilvl w:val="0"/>
          <w:numId w:val="0"/>
        </w:numPr>
        <w:tabs>
          <w:tab w:val="clear" w:pos="3360"/>
        </w:tabs>
        <w:spacing w:before="120" w:after="120"/>
        <w:ind w:leftChars="0"/>
        <w:jc w:val="both"/>
        <w:rPr>
          <w:rFonts w:hint="eastAsia"/>
          <w:color w:val="auto"/>
          <w:szCs w:val="22"/>
          <w:highlight w:val="none"/>
          <w:lang w:eastAsia="zh-CN"/>
        </w:rPr>
      </w:pPr>
    </w:p>
    <w:p>
      <w:pPr>
        <w:rPr>
          <w:rFonts w:hint="eastAsia"/>
          <w:lang w:eastAsia="zh-CN"/>
        </w:rPr>
      </w:pPr>
    </w:p>
    <w:p>
      <w:pPr>
        <w:pStyle w:val="3"/>
        <w:numPr>
          <w:ilvl w:val="0"/>
          <w:numId w:val="0"/>
        </w:numPr>
        <w:tabs>
          <w:tab w:val="clear" w:pos="3360"/>
        </w:tabs>
        <w:spacing w:before="120" w:after="120"/>
        <w:ind w:leftChars="0"/>
        <w:rPr>
          <w:rFonts w:hint="eastAsia"/>
          <w:color w:val="auto"/>
          <w:szCs w:val="22"/>
          <w:highlight w:val="none"/>
        </w:rPr>
      </w:pPr>
      <w:r>
        <w:rPr>
          <w:rFonts w:hint="eastAsia"/>
          <w:color w:val="auto"/>
          <w:szCs w:val="22"/>
          <w:highlight w:val="none"/>
          <w:lang w:eastAsia="zh-CN"/>
        </w:rPr>
        <w:t>第二篇</w:t>
      </w:r>
      <w:r>
        <w:rPr>
          <w:rFonts w:hint="eastAsia"/>
          <w:color w:val="auto"/>
          <w:szCs w:val="22"/>
          <w:highlight w:val="none"/>
          <w:lang w:val="en-US" w:eastAsia="zh-CN"/>
        </w:rPr>
        <w:t xml:space="preserve"> </w:t>
      </w:r>
      <w:r>
        <w:rPr>
          <w:rFonts w:hint="eastAsia"/>
          <w:color w:val="auto"/>
          <w:szCs w:val="22"/>
          <w:highlight w:val="none"/>
        </w:rPr>
        <w:t>采购</w:t>
      </w:r>
      <w:r>
        <w:rPr>
          <w:rFonts w:hint="eastAsia"/>
          <w:color w:val="auto"/>
          <w:szCs w:val="22"/>
          <w:highlight w:val="none"/>
          <w:lang w:eastAsia="zh-CN"/>
        </w:rPr>
        <w:t>项目内容及</w:t>
      </w:r>
      <w:r>
        <w:rPr>
          <w:rFonts w:hint="eastAsia"/>
          <w:color w:val="auto"/>
          <w:szCs w:val="22"/>
          <w:highlight w:val="none"/>
        </w:rPr>
        <w:t>要求</w:t>
      </w:r>
      <w:bookmarkEnd w:id="217"/>
      <w:bookmarkEnd w:id="218"/>
      <w:bookmarkEnd w:id="219"/>
      <w:bookmarkEnd w:id="220"/>
      <w:bookmarkEnd w:id="221"/>
      <w:bookmarkEnd w:id="222"/>
      <w:bookmarkEnd w:id="223"/>
      <w:bookmarkEnd w:id="224"/>
      <w:bookmarkEnd w:id="225"/>
      <w:bookmarkEnd w:id="226"/>
      <w:bookmarkEnd w:id="227"/>
      <w:bookmarkEnd w:id="228"/>
      <w:bookmarkEnd w:id="229"/>
      <w:bookmarkStart w:id="230" w:name="_Toc24848"/>
      <w:bookmarkStart w:id="231" w:name="_Toc421783196"/>
    </w:p>
    <w:bookmarkEnd w:id="230"/>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bookmarkStart w:id="232" w:name="_Toc29128"/>
      <w:bookmarkStart w:id="233" w:name="_Toc28663"/>
      <w:bookmarkStart w:id="234" w:name="_Toc1636"/>
      <w:bookmarkStart w:id="235" w:name="_Toc8618"/>
      <w:bookmarkStart w:id="236" w:name="_Toc21442"/>
      <w:r>
        <w:rPr>
          <w:rFonts w:hint="eastAsia" w:ascii="仿宋" w:hAnsi="仿宋" w:eastAsia="仿宋" w:cs="仿宋"/>
          <w:b/>
          <w:bCs/>
          <w:color w:val="auto"/>
          <w:highlight w:val="none"/>
          <w:lang w:val="en-US" w:eastAsia="zh-CN"/>
        </w:rPr>
        <w:t>一、项目概况</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lang w:eastAsia="zh-CN"/>
        </w:rPr>
        <w:t>派出医疗护理员为患者提供陪护服务，费用由患者向</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lang w:eastAsia="zh-CN"/>
        </w:rPr>
        <w:t>支付。免陪照护服务价格严格按照《重庆市医疗保障局关于规范护理类医疗服务价格项目及医保支付政策的通知》（渝医保发〔2025〕22号）执行；非免陪照护服务价格由</w:t>
      </w:r>
      <w:r>
        <w:rPr>
          <w:rFonts w:hint="eastAsia" w:ascii="仿宋" w:hAnsi="仿宋" w:eastAsia="仿宋" w:cs="仿宋"/>
          <w:color w:val="auto"/>
          <w:highlight w:val="none"/>
          <w:lang w:val="en-US" w:eastAsia="zh-CN"/>
        </w:rPr>
        <w:t>竞选人制定，遴选人审核备案后公示</w:t>
      </w:r>
      <w:r>
        <w:rPr>
          <w:rFonts w:hint="eastAsia" w:ascii="仿宋" w:hAnsi="仿宋" w:eastAsia="仿宋" w:cs="仿宋"/>
          <w:color w:val="auto"/>
          <w:highlight w:val="none"/>
          <w:lang w:eastAsia="zh-CN"/>
        </w:rPr>
        <w:t>。</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lang w:eastAsia="zh-CN"/>
        </w:rPr>
        <w:t>应当为三无病人、院内职工提供的护理服务给予优惠。</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二、人员配备</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竞选人根据</w:t>
      </w:r>
      <w:r>
        <w:rPr>
          <w:rFonts w:hint="eastAsia" w:ascii="仿宋" w:hAnsi="仿宋" w:eastAsia="仿宋" w:cs="仿宋"/>
          <w:color w:val="auto"/>
          <w:highlight w:val="none"/>
          <w:lang w:eastAsia="zh-CN"/>
        </w:rPr>
        <w:t>各科室床位数量、住院患者人流量、危重患者占比、陪护需求，实行动态化、弹性化人员配备，保障24小时不间断服务，杜绝空岗、缺岗、脱岗情况，满足病区日常及突发陪护需求。</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三、服务内容及范围：</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（一）医疗护理员主要服务内容</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1.个人清洁与卫生</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身体清洁：协助或进行洗脸、洗手、洗脚、梳头、剃胡须、修剪指甲、口腔清洁、协助摘戴及清洗义齿。</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全身擦浴/沐浴：协助床上擦浴、洗澡，进行会阴部清洁。</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头发护理：提供床上洗头、普通洗头或中药洗头服务。</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2.起居与活动协助</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穿衣进食：协助穿脱衣物、鞋袜，按需更换病员服；协助进食、进水，必要时进行喂食喂水。</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排泄照护：协助入厕、使用便器，为卧床患者更换尿布/纸尿裤、倾倒尿液，并观察排泄物性状。</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体位护理：协助患者翻身、拍背、采取正确体位，进行体位转换与移动，使用助行器或轮椅。</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睡眠管理：布置睡眠环境，观察患者睡眠状况。</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3.健康监测与康复支持</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生命体征观察：协助护士完成体温、脉搏、呼吸、血氧、血压基础数据记录，仅记录、不诊断、不处置。</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病情观察：观察患者精神状态、皮肤变化（预防压力性损伤）、输液外渗、异常情绪，第一时间上报当班护士，禁止自行处置。</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康复训练：在指导下协助患者进行简易功能锻炼、日常活动训练及肢体被动活动。</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用药协助：提醒并协助患者按时服药。</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专项护理：规范协助基础排痰护理（物理辅助），严禁一切医疗侵入性操作。</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4.人文关怀与特殊服务</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心理支持：提供亲情陪聊、心理疏导、情绪安抚，特别是对临终患者给予心理支持和人文关怀。</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5.母婴护理（产科专项）</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产妇护理：协助生活护理、催乳服务、恶露观察、子宫恢复护理、中药洗头等。</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新生儿护理：口腔清洁、脐部/臀部消毒护理、黄疸观察、体温体重测量、喂养指导、洗澡抚触、衣物奶具清洗等。</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（二）</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应保障医疗护理员及时到位，根据</w:t>
      </w:r>
      <w:r>
        <w:rPr>
          <w:rFonts w:hint="eastAsia" w:ascii="仿宋" w:hAnsi="仿宋" w:eastAsia="仿宋" w:cs="仿宋"/>
          <w:color w:val="auto"/>
          <w:highlight w:val="none"/>
          <w:lang w:val="en-US" w:eastAsia="zh-CN"/>
        </w:rPr>
        <w:t>医院</w:t>
      </w:r>
      <w:r>
        <w:rPr>
          <w:rFonts w:hint="eastAsia" w:ascii="仿宋" w:hAnsi="仿宋" w:eastAsia="仿宋" w:cs="仿宋"/>
          <w:color w:val="auto"/>
          <w:highlight w:val="none"/>
        </w:rPr>
        <w:t>的床位编制及工作量以“小组模式”入驻科室服务，医疗护理员人数具体以满足患者需求、质量和安全为准；须征得科室护士长同意。</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eastAsia="zh-CN"/>
        </w:rPr>
        <w:t>（三）</w:t>
      </w:r>
      <w:r>
        <w:rPr>
          <w:rFonts w:hint="eastAsia" w:ascii="仿宋" w:hAnsi="仿宋" w:eastAsia="仿宋" w:cs="仿宋"/>
          <w:color w:val="auto"/>
          <w:highlight w:val="none"/>
        </w:rPr>
        <w:t>医疗护理员不得从事包括但不限于专业性医疗操作如吸痰、穿刺、拔针等诊疗行为。</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（四）</w:t>
      </w:r>
      <w:r>
        <w:rPr>
          <w:rFonts w:hint="eastAsia" w:ascii="仿宋" w:hAnsi="仿宋" w:eastAsia="仿宋" w:cs="仿宋"/>
          <w:color w:val="auto"/>
          <w:highlight w:val="none"/>
        </w:rPr>
        <w:t>医疗护理员在进行生活护理的同时，有义务协助护士在能力范围内观察患者的病情并及时报告患者的病情、心理变化及异常情况等。</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highlight w:val="none"/>
          <w:lang w:eastAsia="zh-CN"/>
        </w:rPr>
        <w:t>（五）</w:t>
      </w:r>
      <w:r>
        <w:rPr>
          <w:rFonts w:hint="eastAsia" w:ascii="仿宋" w:hAnsi="仿宋" w:eastAsia="仿宋" w:cs="仿宋"/>
          <w:color w:val="auto"/>
          <w:highlight w:val="none"/>
        </w:rPr>
        <w:t>医疗护理员禁止私自接受陪护其他病人，禁止跨区域陪护病人。</w:t>
      </w:r>
    </w:p>
    <w:bookmarkEnd w:id="232"/>
    <w:bookmarkEnd w:id="233"/>
    <w:bookmarkEnd w:id="234"/>
    <w:bookmarkEnd w:id="235"/>
    <w:bookmarkEnd w:id="236"/>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bookmarkStart w:id="237" w:name="_Toc13454"/>
      <w:bookmarkStart w:id="238" w:name="_Toc14357"/>
      <w:bookmarkStart w:id="239" w:name="_Toc4600"/>
      <w:bookmarkStart w:id="240" w:name="_Toc7209"/>
      <w:bookmarkStart w:id="241" w:name="_Toc29474"/>
      <w:bookmarkStart w:id="242" w:name="_Toc17260"/>
      <w:bookmarkStart w:id="243" w:name="_Toc30653"/>
      <w:bookmarkStart w:id="244" w:name="_Toc21839"/>
      <w:bookmarkStart w:id="245" w:name="_Toc1773"/>
      <w:bookmarkStart w:id="246" w:name="_Toc13929"/>
      <w:bookmarkStart w:id="247" w:name="_Toc22492"/>
      <w:bookmarkStart w:id="248" w:name="_Toc48837306"/>
      <w:bookmarkStart w:id="249" w:name="_Toc29208"/>
      <w:bookmarkStart w:id="250" w:name="_Toc29690"/>
      <w:bookmarkStart w:id="251" w:name="_Toc626"/>
      <w:bookmarkStart w:id="252" w:name="_Toc19831"/>
      <w:bookmarkStart w:id="253" w:name="_Toc6981"/>
      <w:bookmarkStart w:id="254" w:name="_Toc525"/>
      <w:bookmarkStart w:id="255" w:name="_Toc17633"/>
      <w:bookmarkStart w:id="256" w:name="_Toc8563"/>
      <w:bookmarkStart w:id="257" w:name="_Toc14010"/>
      <w:bookmarkStart w:id="258" w:name="_Toc22261"/>
      <w:bookmarkStart w:id="259" w:name="_Toc4982"/>
      <w:bookmarkStart w:id="260" w:name="_Toc7413"/>
      <w:bookmarkStart w:id="261" w:name="_Toc1898"/>
      <w:bookmarkStart w:id="262" w:name="_Toc4813"/>
      <w:bookmarkStart w:id="263" w:name="_Toc3944"/>
      <w:bookmarkStart w:id="264" w:name="_Toc27837"/>
      <w:r>
        <w:rPr>
          <w:rFonts w:hint="eastAsia" w:ascii="仿宋" w:hAnsi="仿宋" w:eastAsia="仿宋" w:cs="仿宋"/>
          <w:b/>
          <w:bCs/>
          <w:color w:val="auto"/>
          <w:highlight w:val="none"/>
          <w:lang w:val="en-US" w:eastAsia="zh-CN"/>
        </w:rPr>
        <w:t>四、服务要求</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一</w:t>
      </w:r>
      <w:r>
        <w:rPr>
          <w:rFonts w:hint="eastAsia" w:ascii="仿宋" w:hAnsi="仿宋" w:eastAsia="仿宋" w:cs="仿宋"/>
          <w:color w:val="auto"/>
          <w:highlight w:val="none"/>
        </w:rPr>
        <w:t>）安全保障与责任</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必须在合同生效前，购买并持续维持以下足额保险，并将医院列为共同被保险人：</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w:t>
      </w:r>
      <w:r>
        <w:rPr>
          <w:rFonts w:hint="eastAsia" w:ascii="仿宋" w:hAnsi="仿宋" w:eastAsia="仿宋" w:cs="仿宋"/>
          <w:color w:val="auto"/>
          <w:highlight w:val="none"/>
        </w:rPr>
        <w:t>)公众责任险，每次事故赔偿限额不低于人民币200万元；</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2</w:t>
      </w:r>
      <w:r>
        <w:rPr>
          <w:rFonts w:hint="eastAsia" w:ascii="仿宋" w:hAnsi="仿宋" w:eastAsia="仿宋" w:cs="仿宋"/>
          <w:color w:val="auto"/>
          <w:highlight w:val="none"/>
        </w:rPr>
        <w:t>)雇主责任险，覆盖其所有派遣人员。</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 xml:space="preserve">应在合同签订时及每年向医院提供有效的保单复印件。 </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(3)每年按期更新保单，医院留存备案，脱保立即停岗整改。</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与派遣至医院现场提供服务的所有人员建立合法的劳动或劳务关系，并已依法足额支付薪酬、缴纳相应保险。如因</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与其人员之间的用工纠纷，或因医院被错误认定为用人单位，导致医院遭受任何损失（包括但不限于被要求承担连带支付责任、行政处罚、及为处理纠纷支出的律师费、诉讼费等），</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 xml:space="preserve">应承担全部责任，并赔偿医院的一切损失。 </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3.因</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人员提供服务过程中的任何故意或过失行为，导致患者、家属、医院工作人员或任何第三方人身或财产损害的，</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为第一责任人。医院在紧急情况下或为维护公共利益、医院声誉而先行垫付的费用，有权向</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追偿。</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二</w:t>
      </w:r>
      <w:r>
        <w:rPr>
          <w:rFonts w:hint="eastAsia" w:ascii="仿宋" w:hAnsi="仿宋" w:eastAsia="仿宋" w:cs="仿宋"/>
          <w:color w:val="auto"/>
          <w:highlight w:val="none"/>
        </w:rPr>
        <w:t>）突发事件应急预案方面</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应提供突发保障任务及突发问题应急预案（包括如法定节假日、</w:t>
      </w:r>
      <w:r>
        <w:rPr>
          <w:rFonts w:hint="eastAsia" w:ascii="仿宋" w:hAnsi="仿宋" w:eastAsia="仿宋" w:cs="仿宋"/>
          <w:color w:val="auto"/>
          <w:highlight w:val="none"/>
          <w:lang w:val="en-US" w:eastAsia="zh-CN"/>
        </w:rPr>
        <w:t>人员紧缺、突发纠纷、安全事故、</w:t>
      </w:r>
      <w:r>
        <w:rPr>
          <w:rFonts w:hint="eastAsia" w:ascii="仿宋" w:hAnsi="仿宋" w:eastAsia="仿宋" w:cs="仿宋"/>
          <w:color w:val="auto"/>
          <w:highlight w:val="none"/>
        </w:rPr>
        <w:t>患者跌倒/坠床</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意外走失等的应对措施）。</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三</w:t>
      </w:r>
      <w:r>
        <w:rPr>
          <w:rFonts w:hint="eastAsia" w:ascii="仿宋" w:hAnsi="仿宋" w:eastAsia="仿宋" w:cs="仿宋"/>
          <w:color w:val="auto"/>
          <w:highlight w:val="none"/>
        </w:rPr>
        <w:t>）信息化智能服务方面</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应具有智能化服务并有成熟的运营经验（</w:t>
      </w:r>
      <w:r>
        <w:rPr>
          <w:rFonts w:hint="eastAsia" w:ascii="仿宋" w:hAnsi="仿宋" w:eastAsia="仿宋" w:cs="仿宋"/>
          <w:color w:val="auto"/>
          <w:highlight w:val="none"/>
          <w:lang w:val="en-US" w:eastAsia="zh-CN"/>
        </w:rPr>
        <w:t>竞选人的</w:t>
      </w:r>
      <w:r>
        <w:rPr>
          <w:rFonts w:hint="eastAsia" w:ascii="仿宋" w:hAnsi="仿宋" w:eastAsia="仿宋" w:cs="仿宋"/>
          <w:color w:val="auto"/>
          <w:highlight w:val="none"/>
        </w:rPr>
        <w:t>陪护信息化管理系统功能架构应包括：手机下单、派单、支付功能、医疗护理员查看订单及反馈信息功能、患者家属预约、查看订单情况及满意度测评功能等</w:t>
      </w:r>
      <w:r>
        <w:rPr>
          <w:rFonts w:hint="eastAsia" w:ascii="仿宋" w:hAnsi="仿宋" w:eastAsia="仿宋" w:cs="仿宋"/>
          <w:color w:val="auto"/>
          <w:highlight w:val="none"/>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五、人员要求</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管理要求</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须配有法律顾问，具有解决各种纠纷的能力和赔偿能力，提供解决纠纷和突发情况的应急方案。</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rPr>
        <w:t>2. </w:t>
      </w:r>
      <w:r>
        <w:rPr>
          <w:rFonts w:hint="eastAsia" w:ascii="仿宋" w:hAnsi="仿宋" w:eastAsia="仿宋" w:cs="仿宋"/>
          <w:color w:val="auto"/>
          <w:highlight w:val="none"/>
          <w:lang w:val="en-US" w:eastAsia="zh-CN"/>
        </w:rPr>
        <w:t>配备专职项目负责人，负责质量督导、培训、纠纷处置等，团队稳定，未经医院同意不得随意更换核心管理人员。</w:t>
      </w:r>
      <w:r>
        <w:rPr>
          <w:rFonts w:hint="eastAsia" w:ascii="仿宋" w:hAnsi="仿宋" w:eastAsia="仿宋" w:cs="仿宋"/>
          <w:color w:val="auto"/>
          <w:highlight w:val="none"/>
        </w:rPr>
        <w:t>管理人员应</w:t>
      </w:r>
      <w:r>
        <w:rPr>
          <w:rFonts w:hint="eastAsia" w:ascii="仿宋" w:hAnsi="仿宋" w:eastAsia="仿宋" w:cs="仿宋"/>
          <w:color w:val="auto"/>
          <w:highlight w:val="none"/>
          <w:lang w:eastAsia="zh-CN"/>
        </w:rPr>
        <w:t>当在</w:t>
      </w:r>
      <w:r>
        <w:rPr>
          <w:rFonts w:hint="eastAsia" w:ascii="仿宋" w:hAnsi="仿宋" w:eastAsia="仿宋" w:cs="仿宋"/>
          <w:color w:val="auto"/>
          <w:highlight w:val="none"/>
        </w:rPr>
        <w:t>24小时内响应投诉</w:t>
      </w:r>
      <w:r>
        <w:rPr>
          <w:rFonts w:hint="eastAsia" w:ascii="仿宋" w:hAnsi="仿宋" w:eastAsia="仿宋" w:cs="仿宋"/>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应保证提供足够</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医疗护理员，</w:t>
      </w:r>
      <w:r>
        <w:rPr>
          <w:rFonts w:hint="eastAsia" w:ascii="仿宋" w:hAnsi="仿宋" w:eastAsia="仿宋" w:cs="仿宋"/>
          <w:color w:val="auto"/>
          <w:highlight w:val="none"/>
          <w:lang w:val="en-US" w:eastAsia="zh-CN"/>
        </w:rPr>
        <w:t>护理员</w:t>
      </w:r>
      <w:r>
        <w:rPr>
          <w:rFonts w:hint="eastAsia" w:ascii="仿宋" w:hAnsi="仿宋" w:eastAsia="仿宋" w:cs="仿宋"/>
          <w:color w:val="auto"/>
          <w:highlight w:val="none"/>
        </w:rPr>
        <w:t>需持证上岗，</w:t>
      </w:r>
      <w:r>
        <w:rPr>
          <w:rFonts w:hint="eastAsia" w:ascii="仿宋" w:hAnsi="仿宋" w:eastAsia="仿宋" w:cs="仿宋"/>
          <w:color w:val="auto"/>
          <w:highlight w:val="none"/>
          <w:lang w:val="en-US" w:eastAsia="zh-CN"/>
        </w:rPr>
        <w:t>需</w:t>
      </w:r>
      <w:r>
        <w:rPr>
          <w:rFonts w:hint="eastAsia" w:ascii="仿宋" w:hAnsi="仿宋" w:eastAsia="仿宋" w:cs="仿宋"/>
          <w:color w:val="auto"/>
          <w:highlight w:val="none"/>
        </w:rPr>
        <w:t>统一着装、挂牌上岗，身心健康（入职前应进行健康体检）且每年定期体检，防止交叉感染，五官端正，有爱心和吃苦耐劳精神，有良好的观察能力和沟通能力。如果</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派出的工作人员有不符合上述要求的，医院有权利要求</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另派遣工作人员。</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（二）</w:t>
      </w:r>
      <w:r>
        <w:rPr>
          <w:rFonts w:hint="eastAsia" w:ascii="仿宋" w:hAnsi="仿宋" w:eastAsia="仿宋" w:cs="仿宋"/>
          <w:color w:val="auto"/>
          <w:highlight w:val="none"/>
          <w:lang w:eastAsia="zh-CN"/>
        </w:rPr>
        <w:t>医疗</w:t>
      </w:r>
      <w:r>
        <w:rPr>
          <w:rFonts w:hint="eastAsia" w:ascii="仿宋" w:hAnsi="仿宋" w:eastAsia="仿宋" w:cs="仿宋"/>
          <w:color w:val="auto"/>
          <w:highlight w:val="none"/>
        </w:rPr>
        <w:t>护理员要求</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1.</w:t>
      </w:r>
      <w:r>
        <w:rPr>
          <w:rFonts w:hint="eastAsia" w:ascii="仿宋" w:hAnsi="仿宋" w:eastAsia="仿宋" w:cs="仿宋"/>
          <w:color w:val="auto"/>
          <w:highlight w:val="none"/>
          <w:lang w:eastAsia="zh-CN"/>
        </w:rPr>
        <w:t>医疗</w:t>
      </w:r>
      <w:r>
        <w:rPr>
          <w:rFonts w:hint="eastAsia" w:ascii="仿宋" w:hAnsi="仿宋" w:eastAsia="仿宋" w:cs="仿宋"/>
          <w:color w:val="auto"/>
          <w:highlight w:val="none"/>
          <w:lang w:val="en-US" w:eastAsia="zh-CN"/>
        </w:rPr>
        <w:t>护理员年龄在25-60周岁，初中及以上文化，具备基本沟通能力；护理员需</w:t>
      </w:r>
      <w:r>
        <w:rPr>
          <w:rFonts w:hint="eastAsia" w:ascii="仿宋" w:hAnsi="仿宋" w:eastAsia="仿宋" w:cs="仿宋"/>
          <w:color w:val="auto"/>
          <w:highlight w:val="none"/>
        </w:rPr>
        <w:t>取得医疗护理员职业证书，参加岗前培训考核和岗位培训考核，并考核合格。</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2.医疗护理员在</w:t>
      </w:r>
      <w:r>
        <w:rPr>
          <w:rFonts w:hint="eastAsia" w:ascii="仿宋" w:hAnsi="仿宋" w:eastAsia="仿宋" w:cs="仿宋"/>
          <w:color w:val="auto"/>
          <w:highlight w:val="none"/>
          <w:lang w:val="en-US" w:eastAsia="zh-CN"/>
        </w:rPr>
        <w:t>医院</w:t>
      </w:r>
      <w:r>
        <w:rPr>
          <w:rFonts w:hint="eastAsia" w:ascii="仿宋" w:hAnsi="仿宋" w:eastAsia="仿宋" w:cs="仿宋"/>
          <w:color w:val="auto"/>
          <w:highlight w:val="none"/>
        </w:rPr>
        <w:t>开展陪护服务工作，必须遵守国家法律法规、部门规章和医院的相关管理制度，并接受</w:t>
      </w:r>
      <w:r>
        <w:rPr>
          <w:rFonts w:hint="eastAsia" w:ascii="仿宋" w:hAnsi="仿宋" w:eastAsia="仿宋" w:cs="仿宋"/>
          <w:color w:val="auto"/>
          <w:highlight w:val="none"/>
          <w:lang w:val="en-US" w:eastAsia="zh-CN"/>
        </w:rPr>
        <w:t>医院</w:t>
      </w:r>
      <w:r>
        <w:rPr>
          <w:rFonts w:hint="eastAsia" w:ascii="仿宋" w:hAnsi="仿宋" w:eastAsia="仿宋" w:cs="仿宋"/>
          <w:color w:val="auto"/>
          <w:highlight w:val="none"/>
        </w:rPr>
        <w:t>相关管理部门的监督，对</w:t>
      </w:r>
      <w:r>
        <w:rPr>
          <w:rFonts w:hint="eastAsia" w:ascii="仿宋" w:hAnsi="仿宋" w:eastAsia="仿宋" w:cs="仿宋"/>
          <w:color w:val="auto"/>
          <w:highlight w:val="none"/>
          <w:lang w:val="en-US" w:eastAsia="zh-CN"/>
        </w:rPr>
        <w:t>医院</w:t>
      </w:r>
      <w:r>
        <w:rPr>
          <w:rFonts w:hint="eastAsia" w:ascii="仿宋" w:hAnsi="仿宋" w:eastAsia="仿宋" w:cs="仿宋"/>
          <w:color w:val="auto"/>
          <w:highlight w:val="none"/>
        </w:rPr>
        <w:t>提出的改进意见和建议应当予以采纳。</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3.医疗护理员身心健康，无传染类、心理精神等疾病。</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4.</w:t>
      </w:r>
      <w:r>
        <w:rPr>
          <w:rFonts w:hint="eastAsia" w:ascii="仿宋" w:hAnsi="仿宋" w:eastAsia="仿宋" w:cs="仿宋"/>
          <w:color w:val="auto"/>
          <w:highlight w:val="none"/>
        </w:rPr>
        <w:t>严禁</w:t>
      </w:r>
      <w:r>
        <w:rPr>
          <w:rFonts w:hint="eastAsia" w:ascii="仿宋" w:hAnsi="仿宋" w:eastAsia="仿宋" w:cs="仿宋"/>
          <w:color w:val="auto"/>
          <w:highlight w:val="none"/>
          <w:lang w:eastAsia="zh-CN"/>
        </w:rPr>
        <w:t>医疗护理员</w:t>
      </w:r>
      <w:r>
        <w:rPr>
          <w:rFonts w:hint="eastAsia" w:ascii="仿宋" w:hAnsi="仿宋" w:eastAsia="仿宋" w:cs="仿宋"/>
          <w:color w:val="auto"/>
          <w:highlight w:val="none"/>
        </w:rPr>
        <w:t>私自向患者及家属收取额外费用、索要红包、推销物品，一经发现，严肃追责并责令人员清退。</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color w:val="auto"/>
          <w:szCs w:val="22"/>
          <w:highlight w:val="none"/>
          <w:lang w:eastAsia="zh-CN"/>
        </w:rPr>
      </w:pP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.本项目配置的所有</w:t>
      </w:r>
      <w:r>
        <w:rPr>
          <w:rFonts w:hint="eastAsia" w:ascii="仿宋" w:hAnsi="仿宋" w:eastAsia="仿宋" w:cs="仿宋"/>
          <w:color w:val="auto"/>
          <w:highlight w:val="none"/>
          <w:lang w:eastAsia="zh-CN"/>
        </w:rPr>
        <w:t>医疗</w:t>
      </w:r>
      <w:r>
        <w:rPr>
          <w:rFonts w:hint="eastAsia" w:ascii="仿宋" w:hAnsi="仿宋" w:eastAsia="仿宋" w:cs="仿宋"/>
          <w:color w:val="auto"/>
          <w:highlight w:val="none"/>
        </w:rPr>
        <w:t>护</w:t>
      </w:r>
      <w:r>
        <w:rPr>
          <w:rFonts w:hint="eastAsia" w:ascii="仿宋" w:hAnsi="仿宋" w:eastAsia="仿宋" w:cs="仿宋"/>
          <w:color w:val="auto"/>
          <w:highlight w:val="none"/>
          <w:lang w:eastAsia="zh-CN"/>
        </w:rPr>
        <w:t>理员</w:t>
      </w:r>
      <w:r>
        <w:rPr>
          <w:rFonts w:hint="eastAsia" w:ascii="仿宋" w:hAnsi="仿宋" w:eastAsia="仿宋" w:cs="仿宋"/>
          <w:color w:val="auto"/>
          <w:highlight w:val="none"/>
        </w:rPr>
        <w:t>均需满足医院统一的服务标准、管理规定，接受医院的统一监督与考核。医院方有权就任何岗位人员的服务质量问题向</w:t>
      </w:r>
      <w:r>
        <w:rPr>
          <w:rFonts w:hint="eastAsia" w:ascii="仿宋" w:hAnsi="仿宋" w:eastAsia="仿宋" w:cs="仿宋"/>
          <w:color w:val="auto"/>
          <w:highlight w:val="none"/>
          <w:lang w:val="en-US" w:eastAsia="zh-CN"/>
        </w:rPr>
        <w:t>竞选人</w:t>
      </w:r>
      <w:r>
        <w:rPr>
          <w:rFonts w:hint="eastAsia" w:ascii="仿宋" w:hAnsi="仿宋" w:eastAsia="仿宋" w:cs="仿宋"/>
          <w:color w:val="auto"/>
          <w:highlight w:val="none"/>
        </w:rPr>
        <w:t>追责</w:t>
      </w:r>
      <w:r>
        <w:rPr>
          <w:rFonts w:hint="eastAsia" w:ascii="仿宋" w:hAnsi="仿宋" w:eastAsia="仿宋" w:cs="仿宋"/>
          <w:color w:val="auto"/>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b/>
          <w:bCs/>
          <w:color w:val="auto"/>
          <w:highlight w:val="none"/>
          <w:lang w:val="en-US" w:eastAsia="zh-CN"/>
        </w:rPr>
      </w:pPr>
      <w:r>
        <w:rPr>
          <w:rFonts w:hint="eastAsia" w:ascii="仿宋" w:hAnsi="仿宋" w:eastAsia="仿宋" w:cs="仿宋"/>
          <w:b/>
          <w:bCs/>
          <w:color w:val="auto"/>
          <w:highlight w:val="none"/>
          <w:lang w:val="en-US" w:eastAsia="zh-CN"/>
        </w:rPr>
        <w:t>六、项目辅助内容</w:t>
      </w:r>
    </w:p>
    <w:p>
      <w:pPr>
        <w:keepNext w:val="0"/>
        <w:keepLines w:val="0"/>
        <w:pageBreakBefore w:val="0"/>
        <w:widowControl w:val="0"/>
        <w:kinsoku/>
        <w:wordWrap/>
        <w:overflowPunct/>
        <w:topLinePunct w:val="0"/>
        <w:autoSpaceDE/>
        <w:autoSpaceDN/>
        <w:bidi w:val="0"/>
        <w:adjustRightInd/>
        <w:snapToGrid/>
        <w:spacing w:line="520" w:lineRule="exact"/>
        <w:ind w:firstLine="43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协助基础护理与病区维护，执行晨间与午间护理，整理、更换床单位，保持病房及床单元整洁。患者转运：协助推送患者检查，负责院内患者转床、转科及出入院接送；环境管理：协助开关电视、灯光、窗户，进行节能降耗管理；整理房间、窗台；专项支持：协助护士长完成其他指定的勤杂工作；协助进行物资盘点、仓库管理等。</w:t>
      </w:r>
    </w:p>
    <w:p>
      <w:pPr>
        <w:pStyle w:val="3"/>
        <w:numPr>
          <w:ilvl w:val="0"/>
          <w:numId w:val="0"/>
        </w:numPr>
        <w:tabs>
          <w:tab w:val="clear" w:pos="3360"/>
        </w:tabs>
        <w:spacing w:before="120" w:after="120"/>
        <w:jc w:val="center"/>
        <w:rPr>
          <w:rFonts w:hint="eastAsia"/>
          <w:color w:val="auto"/>
          <w:szCs w:val="22"/>
          <w:highlight w:val="none"/>
          <w:lang w:eastAsia="zh-CN"/>
        </w:rPr>
      </w:pPr>
    </w:p>
    <w:p>
      <w:pPr>
        <w:pStyle w:val="3"/>
        <w:numPr>
          <w:ilvl w:val="0"/>
          <w:numId w:val="0"/>
        </w:numPr>
        <w:tabs>
          <w:tab w:val="clear" w:pos="3360"/>
        </w:tabs>
        <w:spacing w:before="120" w:after="120"/>
        <w:jc w:val="center"/>
        <w:rPr>
          <w:rFonts w:hint="eastAsia"/>
          <w:color w:val="auto"/>
          <w:szCs w:val="22"/>
          <w:highlight w:val="none"/>
          <w:lang w:eastAsia="zh-CN"/>
        </w:rPr>
      </w:pPr>
    </w:p>
    <w:p>
      <w:pPr>
        <w:pStyle w:val="3"/>
        <w:numPr>
          <w:ilvl w:val="0"/>
          <w:numId w:val="0"/>
        </w:numPr>
        <w:tabs>
          <w:tab w:val="clear" w:pos="3360"/>
        </w:tabs>
        <w:spacing w:before="120" w:after="120"/>
        <w:jc w:val="center"/>
        <w:rPr>
          <w:rFonts w:hint="eastAsia"/>
          <w:color w:val="auto"/>
          <w:szCs w:val="22"/>
          <w:highlight w:val="none"/>
          <w:lang w:eastAsia="zh-CN"/>
        </w:rPr>
      </w:pPr>
    </w:p>
    <w:p>
      <w:pPr>
        <w:pStyle w:val="3"/>
        <w:numPr>
          <w:ilvl w:val="0"/>
          <w:numId w:val="0"/>
        </w:numPr>
        <w:tabs>
          <w:tab w:val="clear" w:pos="3360"/>
        </w:tabs>
        <w:spacing w:before="120" w:after="120"/>
        <w:jc w:val="center"/>
        <w:rPr>
          <w:rFonts w:hint="eastAsia"/>
          <w:color w:val="auto"/>
          <w:szCs w:val="22"/>
          <w:highlight w:val="none"/>
          <w:lang w:eastAsia="zh-CN"/>
        </w:rPr>
      </w:pPr>
    </w:p>
    <w:p>
      <w:pPr>
        <w:pStyle w:val="3"/>
        <w:numPr>
          <w:ilvl w:val="0"/>
          <w:numId w:val="0"/>
        </w:numPr>
        <w:tabs>
          <w:tab w:val="clear" w:pos="3360"/>
        </w:tabs>
        <w:spacing w:before="120" w:after="120"/>
        <w:jc w:val="center"/>
        <w:rPr>
          <w:rFonts w:hint="eastAsia"/>
          <w:color w:val="auto"/>
          <w:szCs w:val="22"/>
          <w:highlight w:val="none"/>
          <w:lang w:eastAsia="zh-CN"/>
        </w:rPr>
      </w:pPr>
    </w:p>
    <w:p>
      <w:pPr>
        <w:pStyle w:val="3"/>
        <w:numPr>
          <w:ilvl w:val="0"/>
          <w:numId w:val="0"/>
        </w:numPr>
        <w:tabs>
          <w:tab w:val="clear" w:pos="3360"/>
        </w:tabs>
        <w:spacing w:before="120" w:after="120"/>
        <w:jc w:val="both"/>
        <w:rPr>
          <w:rFonts w:hint="eastAsia"/>
          <w:color w:val="auto"/>
          <w:szCs w:val="22"/>
          <w:highlight w:val="none"/>
          <w:lang w:eastAsia="zh-CN"/>
        </w:rPr>
      </w:pPr>
    </w:p>
    <w:p>
      <w:pPr>
        <w:pStyle w:val="3"/>
        <w:numPr>
          <w:ilvl w:val="0"/>
          <w:numId w:val="0"/>
        </w:numPr>
        <w:tabs>
          <w:tab w:val="clear" w:pos="3360"/>
        </w:tabs>
        <w:spacing w:before="120" w:after="120"/>
        <w:jc w:val="both"/>
        <w:rPr>
          <w:rFonts w:hint="eastAsia"/>
          <w:color w:val="auto"/>
          <w:szCs w:val="22"/>
          <w:highlight w:val="none"/>
          <w:lang w:eastAsia="zh-CN"/>
        </w:rPr>
      </w:pPr>
    </w:p>
    <w:p>
      <w:pPr>
        <w:pStyle w:val="3"/>
        <w:numPr>
          <w:ilvl w:val="0"/>
          <w:numId w:val="0"/>
        </w:numPr>
        <w:tabs>
          <w:tab w:val="clear" w:pos="3360"/>
        </w:tabs>
        <w:spacing w:before="120" w:after="120"/>
        <w:jc w:val="both"/>
        <w:rPr>
          <w:rFonts w:hint="eastAsia"/>
          <w:color w:val="auto"/>
          <w:szCs w:val="22"/>
          <w:highlight w:val="none"/>
          <w:lang w:eastAsia="zh-CN"/>
        </w:rPr>
      </w:pPr>
    </w:p>
    <w:p>
      <w:pPr>
        <w:rPr>
          <w:rFonts w:hint="eastAsia"/>
          <w:lang w:eastAsia="zh-CN"/>
        </w:rPr>
      </w:pPr>
    </w:p>
    <w:p>
      <w:pPr>
        <w:pStyle w:val="3"/>
        <w:numPr>
          <w:ilvl w:val="0"/>
          <w:numId w:val="0"/>
        </w:numPr>
        <w:tabs>
          <w:tab w:val="clear" w:pos="3360"/>
        </w:tabs>
        <w:spacing w:before="120" w:after="120"/>
        <w:jc w:val="center"/>
        <w:rPr>
          <w:rFonts w:hint="eastAsia"/>
          <w:color w:val="auto"/>
          <w:szCs w:val="22"/>
          <w:highlight w:val="none"/>
        </w:rPr>
      </w:pPr>
      <w:r>
        <w:rPr>
          <w:rFonts w:hint="eastAsia"/>
          <w:color w:val="auto"/>
          <w:szCs w:val="22"/>
          <w:highlight w:val="none"/>
          <w:lang w:eastAsia="zh-CN"/>
        </w:rPr>
        <w:t>第三篇</w:t>
      </w:r>
      <w:r>
        <w:rPr>
          <w:rFonts w:hint="eastAsia"/>
          <w:color w:val="auto"/>
          <w:szCs w:val="22"/>
          <w:highlight w:val="none"/>
          <w:lang w:val="en-US" w:eastAsia="zh-CN"/>
        </w:rPr>
        <w:t xml:space="preserve"> </w:t>
      </w:r>
      <w:r>
        <w:rPr>
          <w:rFonts w:hint="eastAsia"/>
          <w:color w:val="auto"/>
          <w:szCs w:val="22"/>
          <w:highlight w:val="none"/>
        </w:rPr>
        <w:t>采购商务要求</w:t>
      </w:r>
      <w:bookmarkEnd w:id="23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Start w:id="265" w:name="_Toc384905065"/>
      <w:bookmarkStart w:id="266" w:name="_Toc409189624"/>
    </w:p>
    <w:bookmarkEnd w:id="265"/>
    <w:bookmarkEnd w:id="266"/>
    <w:p>
      <w:pPr>
        <w:pStyle w:val="4"/>
        <w:keepNext/>
        <w:keepLines/>
        <w:pageBreakBefore w:val="0"/>
        <w:widowControl w:val="0"/>
        <w:suppressLineNumbers w:val="0"/>
        <w:suppressAutoHyphens w:val="0"/>
        <w:kinsoku/>
        <w:wordWrap/>
        <w:overflowPunct/>
        <w:topLinePunct w:val="0"/>
        <w:autoSpaceDE/>
        <w:autoSpaceDN/>
        <w:bidi w:val="0"/>
        <w:spacing w:line="520" w:lineRule="exact"/>
        <w:ind w:firstLine="518" w:firstLineChars="200"/>
        <w:textAlignment w:val="auto"/>
        <w:rPr>
          <w:rFonts w:hint="eastAsia" w:ascii="仿宋" w:hAnsi="仿宋" w:eastAsia="仿宋" w:cs="仿宋"/>
          <w:color w:val="auto"/>
          <w:highlight w:val="none"/>
        </w:rPr>
      </w:pPr>
      <w:bookmarkStart w:id="267" w:name="_Toc36064036"/>
      <w:bookmarkStart w:id="268" w:name="_Toc36064000"/>
      <w:bookmarkStart w:id="269" w:name="_Toc36064072"/>
      <w:bookmarkStart w:id="270" w:name="_Toc32329170"/>
      <w:bookmarkStart w:id="271" w:name="_Toc32329212"/>
      <w:bookmarkStart w:id="272" w:name="_Toc32329124"/>
      <w:bookmarkStart w:id="273" w:name="_Toc32329071"/>
      <w:bookmarkStart w:id="274" w:name="_Toc32120"/>
      <w:r>
        <w:rPr>
          <w:rFonts w:hint="eastAsia" w:ascii="仿宋" w:hAnsi="仿宋" w:eastAsia="仿宋" w:cs="仿宋"/>
          <w:color w:val="auto"/>
          <w:highlight w:val="none"/>
        </w:rPr>
        <w:t>一、</w:t>
      </w:r>
      <w:bookmarkEnd w:id="267"/>
      <w:bookmarkEnd w:id="268"/>
      <w:bookmarkEnd w:id="269"/>
      <w:bookmarkEnd w:id="270"/>
      <w:bookmarkEnd w:id="271"/>
      <w:bookmarkEnd w:id="272"/>
      <w:bookmarkEnd w:id="273"/>
      <w:r>
        <w:rPr>
          <w:rFonts w:hint="eastAsia" w:ascii="仿宋" w:hAnsi="仿宋" w:eastAsia="仿宋" w:cs="仿宋"/>
          <w:color w:val="auto"/>
          <w:highlight w:val="none"/>
          <w:lang w:val="en-US" w:eastAsia="zh-CN"/>
        </w:rPr>
        <w:t>实施时间、地点及验收方式</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bookmarkStart w:id="275" w:name="_Toc32329171"/>
      <w:bookmarkStart w:id="276" w:name="_Toc493506291"/>
      <w:bookmarkStart w:id="277" w:name="_Toc36064001"/>
      <w:bookmarkStart w:id="278" w:name="_Toc32329072"/>
      <w:bookmarkStart w:id="279" w:name="_Toc32329125"/>
      <w:bookmarkStart w:id="280" w:name="_Toc36064073"/>
      <w:bookmarkStart w:id="281" w:name="_Toc32329213"/>
      <w:bookmarkStart w:id="282" w:name="_Toc36064037"/>
      <w:bookmarkStart w:id="283" w:name="_Toc267320050"/>
      <w:r>
        <w:rPr>
          <w:rFonts w:hint="eastAsia" w:ascii="仿宋" w:hAnsi="仿宋" w:eastAsia="仿宋" w:cs="仿宋"/>
          <w:color w:val="auto"/>
          <w:highlight w:val="none"/>
          <w:lang w:val="en-US" w:eastAsia="zh-CN"/>
        </w:rPr>
        <w:t>1.实施时间：签订合同后</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2.服务地点：重庆市巴南区第二人民医院</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3.验收方式：由遴选人组织验收。</w:t>
      </w:r>
    </w:p>
    <w:p>
      <w:pPr>
        <w:pStyle w:val="4"/>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b w:val="0"/>
          <w:color w:val="auto"/>
          <w:kern w:val="2"/>
          <w:sz w:val="24"/>
          <w:highlight w:val="none"/>
          <w:lang w:val="en-US" w:eastAsia="zh-CN" w:bidi="ar-SA"/>
        </w:rPr>
      </w:pPr>
      <w:r>
        <w:rPr>
          <w:rFonts w:hint="eastAsia" w:ascii="仿宋" w:hAnsi="仿宋" w:eastAsia="仿宋" w:cs="仿宋"/>
          <w:color w:val="auto"/>
          <w:highlight w:val="none"/>
        </w:rPr>
        <w:t>二、</w:t>
      </w:r>
      <w:bookmarkEnd w:id="275"/>
      <w:bookmarkEnd w:id="276"/>
      <w:bookmarkEnd w:id="277"/>
      <w:bookmarkEnd w:id="278"/>
      <w:bookmarkEnd w:id="279"/>
      <w:bookmarkEnd w:id="280"/>
      <w:bookmarkEnd w:id="281"/>
      <w:bookmarkEnd w:id="282"/>
      <w:r>
        <w:rPr>
          <w:rFonts w:hint="eastAsia" w:ascii="仿宋" w:hAnsi="仿宋" w:eastAsia="仿宋" w:cs="仿宋"/>
          <w:color w:val="auto"/>
          <w:highlight w:val="none"/>
          <w:lang w:eastAsia="zh-CN"/>
        </w:rPr>
        <w:t>服务期</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eastAsia="zh-CN"/>
        </w:rPr>
      </w:pPr>
      <w:bookmarkStart w:id="284" w:name="_Toc32329172"/>
      <w:bookmarkStart w:id="285" w:name="_Toc32329126"/>
      <w:bookmarkStart w:id="286" w:name="_Toc32329073"/>
      <w:bookmarkStart w:id="287" w:name="_Toc36064074"/>
      <w:bookmarkStart w:id="288" w:name="_Toc493506292"/>
      <w:bookmarkStart w:id="289" w:name="_Toc32329214"/>
      <w:bookmarkStart w:id="290" w:name="_Toc36064002"/>
      <w:bookmarkStart w:id="291" w:name="_Toc36064038"/>
      <w:r>
        <w:rPr>
          <w:rFonts w:hint="eastAsia" w:ascii="仿宋" w:hAnsi="仿宋" w:eastAsia="仿宋" w:cs="仿宋"/>
          <w:color w:val="auto"/>
          <w:highlight w:val="none"/>
          <w:lang w:val="en-US" w:eastAsia="zh-CN"/>
        </w:rPr>
        <w:t>服务期限为：1年。</w:t>
      </w:r>
    </w:p>
    <w:bookmarkEnd w:id="283"/>
    <w:bookmarkEnd w:id="284"/>
    <w:bookmarkEnd w:id="285"/>
    <w:bookmarkEnd w:id="286"/>
    <w:bookmarkEnd w:id="287"/>
    <w:bookmarkEnd w:id="288"/>
    <w:bookmarkEnd w:id="289"/>
    <w:bookmarkEnd w:id="290"/>
    <w:bookmarkEnd w:id="291"/>
    <w:p>
      <w:pPr>
        <w:pStyle w:val="4"/>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b/>
          <w:color w:val="auto"/>
          <w:highlight w:val="none"/>
        </w:rPr>
      </w:pPr>
      <w:bookmarkStart w:id="292" w:name="_Toc36064039"/>
      <w:bookmarkStart w:id="293" w:name="_Toc36064075"/>
      <w:bookmarkStart w:id="294" w:name="_Toc493506293"/>
      <w:bookmarkStart w:id="295" w:name="_Toc32329173"/>
      <w:bookmarkStart w:id="296" w:name="_Toc32329215"/>
      <w:bookmarkStart w:id="297" w:name="_Toc32329074"/>
      <w:bookmarkStart w:id="298" w:name="_Toc36064003"/>
      <w:bookmarkStart w:id="299" w:name="_Toc267320051"/>
      <w:bookmarkStart w:id="300" w:name="_Toc32329127"/>
      <w:r>
        <w:rPr>
          <w:rFonts w:hint="eastAsia" w:ascii="仿宋" w:hAnsi="仿宋" w:eastAsia="仿宋" w:cs="仿宋"/>
          <w:b/>
          <w:color w:val="auto"/>
          <w:highlight w:val="none"/>
          <w:lang w:eastAsia="zh-CN"/>
        </w:rPr>
        <w:t>三</w:t>
      </w:r>
      <w:r>
        <w:rPr>
          <w:rFonts w:hint="eastAsia" w:ascii="仿宋" w:hAnsi="仿宋" w:eastAsia="仿宋" w:cs="仿宋"/>
          <w:b/>
          <w:color w:val="auto"/>
          <w:highlight w:val="none"/>
        </w:rPr>
        <w:t>、付款方式</w:t>
      </w:r>
      <w:bookmarkEnd w:id="292"/>
      <w:bookmarkEnd w:id="293"/>
      <w:bookmarkEnd w:id="294"/>
      <w:bookmarkEnd w:id="295"/>
      <w:bookmarkEnd w:id="296"/>
      <w:bookmarkEnd w:id="297"/>
      <w:bookmarkEnd w:id="298"/>
      <w:bookmarkEnd w:id="299"/>
      <w:bookmarkEnd w:id="300"/>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bookmarkStart w:id="301" w:name="_Toc32329174"/>
      <w:bookmarkStart w:id="302" w:name="_Toc36064040"/>
      <w:bookmarkStart w:id="303" w:name="_Toc32329128"/>
      <w:bookmarkStart w:id="304" w:name="_Toc36064076"/>
      <w:bookmarkStart w:id="305" w:name="_Toc32329075"/>
      <w:bookmarkStart w:id="306" w:name="_Toc267320052"/>
      <w:bookmarkStart w:id="307" w:name="_Toc493506294"/>
      <w:bookmarkStart w:id="308" w:name="_Toc32329216"/>
      <w:bookmarkStart w:id="309" w:name="_Toc36064004"/>
      <w:r>
        <w:rPr>
          <w:rFonts w:hint="eastAsia" w:ascii="仿宋" w:hAnsi="仿宋" w:eastAsia="仿宋" w:cs="仿宋"/>
          <w:color w:val="auto"/>
          <w:highlight w:val="none"/>
          <w:lang w:val="en-US" w:eastAsia="zh-CN"/>
        </w:rPr>
        <w:t>由患者直接支付给中选人。</w:t>
      </w:r>
    </w:p>
    <w:p>
      <w:pPr>
        <w:pStyle w:val="4"/>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四</w:t>
      </w:r>
      <w:r>
        <w:rPr>
          <w:rFonts w:hint="eastAsia" w:ascii="仿宋" w:hAnsi="仿宋" w:eastAsia="仿宋" w:cs="仿宋"/>
          <w:color w:val="auto"/>
          <w:highlight w:val="none"/>
        </w:rPr>
        <w:t>、</w:t>
      </w:r>
      <w:bookmarkEnd w:id="301"/>
      <w:bookmarkEnd w:id="302"/>
      <w:bookmarkEnd w:id="303"/>
      <w:bookmarkEnd w:id="304"/>
      <w:bookmarkEnd w:id="305"/>
      <w:bookmarkEnd w:id="306"/>
      <w:bookmarkEnd w:id="307"/>
      <w:bookmarkEnd w:id="308"/>
      <w:bookmarkEnd w:id="309"/>
      <w:r>
        <w:rPr>
          <w:rFonts w:hint="eastAsia" w:ascii="仿宋" w:hAnsi="仿宋" w:eastAsia="仿宋" w:cs="仿宋"/>
          <w:b/>
          <w:color w:val="auto"/>
          <w:highlight w:val="none"/>
          <w:lang w:val="en-US" w:eastAsia="zh-CN"/>
        </w:rPr>
        <w:t>质量保证及服务</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bookmarkStart w:id="310" w:name="_Toc493506295"/>
      <w:bookmarkStart w:id="311" w:name="_Toc36064005"/>
      <w:bookmarkStart w:id="312" w:name="_Toc32329217"/>
      <w:bookmarkStart w:id="313" w:name="_Toc36064077"/>
      <w:bookmarkStart w:id="314" w:name="_Toc32329076"/>
      <w:bookmarkStart w:id="315" w:name="_Toc32329129"/>
      <w:bookmarkStart w:id="316" w:name="_Toc36064041"/>
      <w:bookmarkStart w:id="317" w:name="_Toc32329175"/>
      <w:r>
        <w:rPr>
          <w:rFonts w:hint="eastAsia" w:ascii="仿宋" w:hAnsi="仿宋" w:eastAsia="仿宋" w:cs="仿宋"/>
          <w:color w:val="auto"/>
          <w:highlight w:val="none"/>
          <w:lang w:val="en-US" w:eastAsia="zh-CN"/>
        </w:rPr>
        <w:t>中选人应在保证服务期和服务质量的前提下履行合同。服务中的一切风险（包括安全事故责任）由中选人承担。</w:t>
      </w:r>
    </w:p>
    <w:p>
      <w:pPr>
        <w:pStyle w:val="17"/>
        <w:keepNext/>
        <w:keepLines w:val="0"/>
        <w:pageBreakBefore w:val="0"/>
        <w:widowControl w:val="0"/>
        <w:kinsoku/>
        <w:wordWrap/>
        <w:overflowPunct/>
        <w:topLinePunct w:val="0"/>
        <w:autoSpaceDE/>
        <w:autoSpaceDN/>
        <w:bidi w:val="0"/>
        <w:adjustRightInd w:val="0"/>
        <w:snapToGrid w:val="0"/>
        <w:spacing w:before="0" w:after="0" w:line="240" w:lineRule="auto"/>
        <w:ind w:left="0" w:leftChars="0" w:firstLine="518" w:firstLineChars="200"/>
        <w:jc w:val="left"/>
        <w:textAlignment w:val="auto"/>
        <w:rPr>
          <w:rFonts w:hint="eastAsia" w:ascii="仿宋" w:hAnsi="仿宋" w:eastAsia="仿宋" w:cs="仿宋"/>
          <w:b/>
          <w:bCs w:val="0"/>
          <w:caps w:val="0"/>
          <w:color w:val="auto"/>
          <w:kern w:val="0"/>
          <w:sz w:val="28"/>
          <w:highlight w:val="none"/>
          <w:lang w:val="en-US" w:eastAsia="zh-CN" w:bidi="ar-SA"/>
        </w:rPr>
      </w:pPr>
      <w:bookmarkStart w:id="318" w:name="_Toc10129"/>
      <w:r>
        <w:rPr>
          <w:rFonts w:hint="eastAsia" w:ascii="仿宋" w:hAnsi="仿宋" w:eastAsia="仿宋" w:cs="仿宋"/>
          <w:b/>
          <w:bCs w:val="0"/>
          <w:caps w:val="0"/>
          <w:color w:val="auto"/>
          <w:kern w:val="0"/>
          <w:sz w:val="28"/>
          <w:highlight w:val="none"/>
          <w:lang w:val="en-US" w:eastAsia="zh-CN" w:bidi="ar-SA"/>
        </w:rPr>
        <w:t>五、知识产权</w:t>
      </w:r>
      <w:bookmarkEnd w:id="318"/>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遴选人在中华人民共和国境内使用投标人提供的货物及服务时免受第三方提出的侵犯其专利权或其它知识产权的起诉。如果第三方提出侵权指控，中选人应承担由此而引起的一切法律责任和费用。</w:t>
      </w:r>
    </w:p>
    <w:p>
      <w:pPr>
        <w:pStyle w:val="17"/>
        <w:keepNext/>
        <w:keepLines w:val="0"/>
        <w:pageBreakBefore w:val="0"/>
        <w:widowControl w:val="0"/>
        <w:kinsoku/>
        <w:wordWrap/>
        <w:overflowPunct/>
        <w:topLinePunct w:val="0"/>
        <w:autoSpaceDE/>
        <w:autoSpaceDN/>
        <w:bidi w:val="0"/>
        <w:adjustRightInd w:val="0"/>
        <w:snapToGrid w:val="0"/>
        <w:spacing w:before="0" w:after="0" w:line="240" w:lineRule="auto"/>
        <w:ind w:left="0" w:leftChars="0" w:firstLine="518" w:firstLineChars="200"/>
        <w:jc w:val="left"/>
        <w:textAlignment w:val="auto"/>
        <w:rPr>
          <w:rFonts w:hint="eastAsia" w:ascii="仿宋" w:hAnsi="仿宋" w:eastAsia="仿宋" w:cs="仿宋"/>
          <w:b/>
          <w:bCs w:val="0"/>
          <w:caps w:val="0"/>
          <w:color w:val="auto"/>
          <w:kern w:val="0"/>
          <w:sz w:val="28"/>
          <w:highlight w:val="none"/>
          <w:lang w:val="en-US" w:eastAsia="zh-CN" w:bidi="ar-SA"/>
        </w:rPr>
      </w:pPr>
      <w:bookmarkStart w:id="319" w:name="_Toc12303"/>
      <w:r>
        <w:rPr>
          <w:rFonts w:hint="eastAsia" w:ascii="仿宋" w:hAnsi="仿宋" w:eastAsia="仿宋" w:cs="仿宋"/>
          <w:b/>
          <w:bCs w:val="0"/>
          <w:caps w:val="0"/>
          <w:color w:val="auto"/>
          <w:kern w:val="0"/>
          <w:sz w:val="28"/>
          <w:highlight w:val="none"/>
          <w:lang w:val="en-US" w:eastAsia="zh-CN" w:bidi="ar-SA"/>
        </w:rPr>
        <w:t>六、培训</w:t>
      </w:r>
      <w:bookmarkEnd w:id="319"/>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中选人应根据合同规定选派合格的人员，建立岗前+定期+专项三级培训体系，所有人员岗前必须完成院感知识、服务规范、安全防护、应急处置、医院规章制度等培训，考核合格后方可上岗，不合格人员严禁入职。</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（2）每月开展1次常态化专项培训，针对服务短板、问题案例、新规要求开展复盘培训，留存培训记录、考核台账备查，接受遴选人定期抽查。</w:t>
      </w:r>
    </w:p>
    <w:p>
      <w:pPr>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b/>
          <w:bCs w:val="0"/>
          <w:caps w:val="0"/>
          <w:color w:val="auto"/>
          <w:kern w:val="0"/>
          <w:sz w:val="28"/>
          <w:highlight w:val="none"/>
          <w:lang w:val="en-US" w:eastAsia="zh-CN" w:bidi="ar-SA"/>
        </w:rPr>
      </w:pPr>
      <w:r>
        <w:rPr>
          <w:rFonts w:hint="eastAsia" w:ascii="仿宋" w:hAnsi="仿宋" w:eastAsia="仿宋" w:cs="仿宋"/>
          <w:b/>
          <w:bCs w:val="0"/>
          <w:caps w:val="0"/>
          <w:color w:val="auto"/>
          <w:kern w:val="0"/>
          <w:sz w:val="28"/>
          <w:highlight w:val="none"/>
          <w:lang w:val="en-US" w:eastAsia="zh-CN" w:bidi="ar-SA"/>
        </w:rPr>
        <w:t>七、服务质量考核管理</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（一）日常督查管理</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1.中选人项目负责人每日开展病区巡查，督查人员在岗情况、服务质量、仪容仪表、作业规范，每日做好台账记录，发现问题立即整改。</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2.医院护理部、科室护士长实行日常抽查、月度考核，对服务质量、人员纪律、患者满意度进行综合评价，检查结果和中选人进行沟通，落实整改措施，督促整改效果。</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（二）考核奖惩管理</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1.建立月度考核、季度复盘、年度总评考核机制，考核结果与人员留存、续约资格直接挂钩。</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2.护理员在医疗服务范围内为患者提供服务时引起患者或家属投诉按医院规定给予处罚。季度累积2次有效投诉或年度内累计3次有效投诉的，或被媒体曝光1次的，医院有权要求中选人更换护理员。</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3.月度出现服务投诉、违规违纪、工作疏漏问题，限期整改，扣除对应服务分值；累计多次不合格、服务质量不达标，医院有权单方面终止合同。</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4.满意度：每月对护理员满意度达≥93%为合格，不合格根据《护理支持中心管理方案》落实考核。</w:t>
      </w:r>
    </w:p>
    <w:p>
      <w:pPr>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b/>
          <w:color w:val="auto"/>
          <w:kern w:val="0"/>
          <w:sz w:val="28"/>
          <w:highlight w:val="none"/>
          <w:lang w:val="en-US" w:eastAsia="zh-CN" w:bidi="ar-SA"/>
        </w:rPr>
      </w:pPr>
      <w:r>
        <w:rPr>
          <w:rFonts w:hint="eastAsia" w:ascii="仿宋" w:hAnsi="仿宋" w:eastAsia="仿宋" w:cs="仿宋"/>
          <w:b/>
          <w:color w:val="auto"/>
          <w:kern w:val="0"/>
          <w:sz w:val="28"/>
          <w:highlight w:val="none"/>
          <w:lang w:val="en-US" w:eastAsia="zh-CN" w:bidi="ar-SA"/>
        </w:rPr>
        <w:t>八、收费模式</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1.自费陪护服务：实行明码标价、备案公示制，由第三方制定阶梯收费标准（普通陪护、危重陪护、一对一陪护等），报医院护理部审核备案后公示，严禁私涨价、乱收费。</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2.专项优惠：对三无病患、本院职工及家属住院陪护实行固定优惠比例，优惠标准上墙公示，全程可追溯。</w:t>
      </w:r>
    </w:p>
    <w:bookmarkEnd w:id="310"/>
    <w:bookmarkEnd w:id="311"/>
    <w:bookmarkEnd w:id="312"/>
    <w:bookmarkEnd w:id="313"/>
    <w:bookmarkEnd w:id="314"/>
    <w:bookmarkEnd w:id="315"/>
    <w:bookmarkEnd w:id="316"/>
    <w:bookmarkEnd w:id="317"/>
    <w:p>
      <w:pPr>
        <w:pageBreakBefore w:val="0"/>
        <w:widowControl w:val="0"/>
        <w:kinsoku/>
        <w:wordWrap/>
        <w:overflowPunct/>
        <w:topLinePunct w:val="0"/>
        <w:autoSpaceDE/>
        <w:autoSpaceDN/>
        <w:bidi w:val="0"/>
        <w:spacing w:line="520" w:lineRule="exact"/>
        <w:ind w:firstLine="518" w:firstLineChars="200"/>
        <w:textAlignment w:val="auto"/>
        <w:rPr>
          <w:rFonts w:hint="eastAsia" w:ascii="仿宋" w:hAnsi="仿宋" w:eastAsia="仿宋" w:cs="仿宋"/>
          <w:b/>
          <w:color w:val="auto"/>
          <w:kern w:val="0"/>
          <w:sz w:val="28"/>
          <w:highlight w:val="none"/>
          <w:lang w:val="en-US" w:eastAsia="zh-CN" w:bidi="ar-SA"/>
        </w:rPr>
      </w:pPr>
      <w:bookmarkStart w:id="320" w:name="_Toc493506296"/>
      <w:bookmarkStart w:id="321" w:name="_Toc36064006"/>
      <w:bookmarkStart w:id="322" w:name="_Toc32329077"/>
      <w:bookmarkStart w:id="323" w:name="_Toc32329218"/>
      <w:bookmarkStart w:id="324" w:name="_Toc36064042"/>
      <w:bookmarkStart w:id="325" w:name="_Toc36064078"/>
      <w:bookmarkStart w:id="326" w:name="_Toc32329130"/>
      <w:bookmarkStart w:id="327" w:name="_Toc32329176"/>
      <w:r>
        <w:rPr>
          <w:rFonts w:hint="eastAsia" w:ascii="仿宋" w:hAnsi="仿宋" w:eastAsia="仿宋" w:cs="仿宋"/>
          <w:b/>
          <w:color w:val="auto"/>
          <w:kern w:val="0"/>
          <w:sz w:val="28"/>
          <w:highlight w:val="none"/>
          <w:lang w:val="en-US" w:eastAsia="zh-CN" w:bidi="ar-SA"/>
        </w:rPr>
        <w:t>九、中选人存在以下情形的，医院有权单方面通知解除合同：</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1.发生重大安全/质量事故。 </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2.月度满意度连续3个月不达标。</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3.年内有效投诉/媒体曝光达到3次。</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4.违反核心禁止性规定。</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5.发生医疗纠纷并因中选人主要责任对医院声誉造成严重损害。 </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 xml:space="preserve">6.中选人丧失主要经营资质等。 </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b/>
          <w:color w:val="auto"/>
          <w:kern w:val="0"/>
          <w:sz w:val="28"/>
          <w:highlight w:val="none"/>
          <w:lang w:val="en-US" w:eastAsia="zh-CN" w:bidi="ar-SA"/>
        </w:rPr>
      </w:pPr>
      <w:r>
        <w:rPr>
          <w:rFonts w:hint="eastAsia" w:ascii="仿宋" w:hAnsi="仿宋" w:eastAsia="仿宋" w:cs="仿宋"/>
          <w:color w:val="auto"/>
          <w:highlight w:val="none"/>
          <w:lang w:val="en-US" w:eastAsia="zh-CN"/>
        </w:rPr>
        <w:t>7.其他核心服务内容达不到遴选文件服务要求的情形。</w:t>
      </w:r>
    </w:p>
    <w:p>
      <w:pPr>
        <w:pageBreakBefore w:val="0"/>
        <w:widowControl w:val="0"/>
        <w:kinsoku/>
        <w:wordWrap/>
        <w:overflowPunct/>
        <w:topLinePunct w:val="0"/>
        <w:autoSpaceDE/>
        <w:autoSpaceDN/>
        <w:bidi w:val="0"/>
        <w:adjustRightInd w:val="0"/>
        <w:snapToGrid w:val="0"/>
        <w:spacing w:line="520" w:lineRule="exact"/>
        <w:ind w:firstLine="518" w:firstLineChars="200"/>
        <w:jc w:val="left"/>
        <w:textAlignment w:val="auto"/>
        <w:rPr>
          <w:rFonts w:ascii="方正仿宋_GBK" w:hAnsi="方正仿宋_GBK" w:eastAsia="仿宋" w:cs="方正仿宋_GBK"/>
          <w:color w:val="auto"/>
          <w:szCs w:val="28"/>
          <w:highlight w:val="none"/>
        </w:rPr>
      </w:pPr>
      <w:r>
        <w:rPr>
          <w:rFonts w:hint="eastAsia" w:ascii="仿宋" w:hAnsi="仿宋" w:eastAsia="仿宋" w:cs="仿宋"/>
          <w:b/>
          <w:color w:val="auto"/>
          <w:kern w:val="0"/>
          <w:sz w:val="28"/>
          <w:highlight w:val="none"/>
          <w:lang w:val="en-US" w:eastAsia="zh-CN" w:bidi="ar-SA"/>
        </w:rPr>
        <w:t>十、</w:t>
      </w:r>
      <w:bookmarkEnd w:id="320"/>
      <w:r>
        <w:rPr>
          <w:rFonts w:hint="eastAsia" w:ascii="仿宋" w:hAnsi="仿宋" w:eastAsia="仿宋" w:cs="仿宋"/>
          <w:b/>
          <w:color w:val="auto"/>
          <w:kern w:val="0"/>
          <w:sz w:val="28"/>
          <w:highlight w:val="none"/>
          <w:lang w:val="en-US" w:eastAsia="zh-CN" w:bidi="ar-SA"/>
        </w:rPr>
        <w:t>其他</w:t>
      </w:r>
      <w:bookmarkEnd w:id="321"/>
      <w:bookmarkEnd w:id="322"/>
      <w:bookmarkEnd w:id="323"/>
      <w:bookmarkEnd w:id="324"/>
      <w:bookmarkEnd w:id="325"/>
      <w:bookmarkEnd w:id="326"/>
      <w:bookmarkEnd w:id="327"/>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（一）</w:t>
      </w:r>
      <w:r>
        <w:rPr>
          <w:rFonts w:hint="eastAsia" w:ascii="仿宋" w:hAnsi="仿宋" w:eastAsia="仿宋" w:cs="仿宋"/>
          <w:color w:val="auto"/>
          <w:highlight w:val="none"/>
          <w:lang w:eastAsia="zh-CN"/>
        </w:rPr>
        <w:t>成交</w:t>
      </w:r>
      <w:r>
        <w:rPr>
          <w:rFonts w:hint="eastAsia" w:ascii="仿宋" w:hAnsi="仿宋" w:eastAsia="仿宋" w:cs="仿宋"/>
          <w:color w:val="auto"/>
          <w:highlight w:val="none"/>
        </w:rPr>
        <w:t>人必须在响应文件中对以上条款和服务承诺明确列出，承诺内容必须达到本篇及</w:t>
      </w:r>
      <w:r>
        <w:rPr>
          <w:rFonts w:hint="eastAsia" w:ascii="仿宋" w:hAnsi="仿宋" w:eastAsia="仿宋" w:cs="仿宋"/>
          <w:color w:val="auto"/>
          <w:highlight w:val="none"/>
          <w:lang w:eastAsia="zh-CN"/>
        </w:rPr>
        <w:t>遴选文件</w:t>
      </w:r>
      <w:r>
        <w:rPr>
          <w:rFonts w:hint="eastAsia" w:ascii="仿宋" w:hAnsi="仿宋" w:eastAsia="仿宋" w:cs="仿宋"/>
          <w:color w:val="auto"/>
          <w:highlight w:val="none"/>
        </w:rPr>
        <w:t>其他条款的要求。</w:t>
      </w:r>
    </w:p>
    <w:p>
      <w:pPr>
        <w:pageBreakBefore w:val="0"/>
        <w:widowControl w:val="0"/>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rPr>
      </w:pPr>
      <w:r>
        <w:rPr>
          <w:rFonts w:hint="eastAsia" w:ascii="仿宋" w:hAnsi="仿宋" w:eastAsia="仿宋" w:cs="仿宋"/>
          <w:color w:val="auto"/>
          <w:highlight w:val="none"/>
        </w:rPr>
        <w:t>（</w:t>
      </w:r>
      <w:r>
        <w:rPr>
          <w:rFonts w:hint="eastAsia" w:ascii="仿宋" w:hAnsi="仿宋" w:eastAsia="仿宋" w:cs="仿宋"/>
          <w:color w:val="auto"/>
          <w:highlight w:val="none"/>
          <w:lang w:eastAsia="zh-CN"/>
        </w:rPr>
        <w:t>二</w:t>
      </w:r>
      <w:r>
        <w:rPr>
          <w:rFonts w:hint="eastAsia" w:ascii="仿宋" w:hAnsi="仿宋" w:eastAsia="仿宋" w:cs="仿宋"/>
          <w:color w:val="auto"/>
          <w:highlight w:val="none"/>
        </w:rPr>
        <w:t>）其他未尽事宜由双方在合同中详细约定。</w:t>
      </w:r>
    </w:p>
    <w:p>
      <w:pPr>
        <w:pStyle w:val="2"/>
        <w:rPr>
          <w:rFonts w:hint="eastAsia" w:ascii="仿宋" w:hAnsi="仿宋" w:eastAsia="仿宋" w:cs="仿宋"/>
          <w:color w:val="auto"/>
          <w:highlight w:val="none"/>
        </w:rPr>
      </w:pPr>
    </w:p>
    <w:p>
      <w:pPr>
        <w:pageBreakBefore w:val="0"/>
        <w:widowControl w:val="0"/>
        <w:numPr>
          <w:ilvl w:val="0"/>
          <w:numId w:val="0"/>
        </w:numPr>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（三）中选人应为三无病人、院内职工提供的三方护理服务给予优惠。</w:t>
      </w:r>
    </w:p>
    <w:p>
      <w:pPr>
        <w:pageBreakBefore w:val="0"/>
        <w:widowControl w:val="0"/>
        <w:numPr>
          <w:ilvl w:val="0"/>
          <w:numId w:val="0"/>
        </w:numPr>
        <w:kinsoku/>
        <w:wordWrap/>
        <w:overflowPunct/>
        <w:topLinePunct w:val="0"/>
        <w:autoSpaceDE/>
        <w:autoSpaceDN/>
        <w:bidi w:val="0"/>
        <w:spacing w:line="520" w:lineRule="exact"/>
        <w:ind w:firstLine="438" w:firstLineChars="200"/>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（四）因卫生健康系统改革政策等原因，发生院区合并、机构整合等情况，本服务期限自动终止，双方按规定妥善完成退场交接工作，遴选人与中选人企业具免责。</w:t>
      </w:r>
    </w:p>
    <w:p>
      <w:pPr>
        <w:rPr>
          <w:rFonts w:hint="eastAsia"/>
          <w:lang w:eastAsia="zh-CN"/>
        </w:rPr>
        <w:sectPr>
          <w:headerReference r:id="rId5" w:type="default"/>
          <w:footerReference r:id="rId6" w:type="default"/>
          <w:pgSz w:w="11907" w:h="16840"/>
          <w:pgMar w:top="1134" w:right="1191" w:bottom="1134" w:left="1304" w:header="794" w:footer="992" w:gutter="0"/>
          <w:pgBorders>
            <w:top w:val="none" w:sz="0" w:space="0"/>
            <w:left w:val="none" w:sz="0" w:space="0"/>
            <w:bottom w:val="none" w:sz="0" w:space="0"/>
            <w:right w:val="none" w:sz="0" w:space="0"/>
          </w:pgBorders>
          <w:pgNumType w:fmt="decimal"/>
          <w:cols w:space="720" w:num="1"/>
          <w:docGrid w:type="linesAndChars" w:linePitch="393" w:charSpace="-4325"/>
        </w:sectPr>
      </w:pPr>
    </w:p>
    <w:bookmarkEnd w:id="274"/>
    <w:p>
      <w:pPr>
        <w:pStyle w:val="3"/>
        <w:numPr>
          <w:ilvl w:val="0"/>
          <w:numId w:val="0"/>
        </w:numPr>
        <w:tabs>
          <w:tab w:val="clear" w:pos="3360"/>
        </w:tabs>
        <w:spacing w:before="120" w:after="120"/>
        <w:ind w:leftChars="0"/>
        <w:rPr>
          <w:rFonts w:hint="eastAsia"/>
          <w:color w:val="auto"/>
          <w:szCs w:val="22"/>
          <w:highlight w:val="none"/>
        </w:rPr>
      </w:pPr>
      <w:bookmarkStart w:id="328" w:name="_Toc3130"/>
      <w:bookmarkStart w:id="329" w:name="_Toc5105"/>
      <w:bookmarkStart w:id="330" w:name="_Toc22566"/>
      <w:bookmarkStart w:id="331" w:name="_Toc29498"/>
      <w:bookmarkStart w:id="332" w:name="_Toc7497"/>
      <w:bookmarkStart w:id="333" w:name="_Toc6833"/>
      <w:bookmarkStart w:id="334" w:name="_Toc19592"/>
      <w:bookmarkStart w:id="335" w:name="_Toc27935"/>
      <w:bookmarkStart w:id="336" w:name="_Toc20828"/>
      <w:bookmarkStart w:id="337" w:name="_Toc28660"/>
      <w:bookmarkStart w:id="338" w:name="_Toc29580"/>
      <w:bookmarkStart w:id="339" w:name="_Toc1839"/>
      <w:bookmarkStart w:id="340" w:name="_Toc1690"/>
      <w:bookmarkStart w:id="341" w:name="_Toc22499"/>
      <w:bookmarkStart w:id="342" w:name="_Toc22480"/>
      <w:r>
        <w:rPr>
          <w:rFonts w:hint="eastAsia"/>
          <w:color w:val="auto"/>
          <w:szCs w:val="22"/>
          <w:highlight w:val="none"/>
          <w:lang w:eastAsia="zh-CN"/>
        </w:rPr>
        <w:t>第四篇</w:t>
      </w:r>
      <w:r>
        <w:rPr>
          <w:rFonts w:hint="eastAsia"/>
          <w:color w:val="auto"/>
          <w:szCs w:val="22"/>
          <w:highlight w:val="none"/>
          <w:lang w:val="en-US" w:eastAsia="zh-CN"/>
        </w:rPr>
        <w:t xml:space="preserve">  </w:t>
      </w:r>
      <w:r>
        <w:rPr>
          <w:rFonts w:hint="eastAsia"/>
          <w:color w:val="auto"/>
          <w:szCs w:val="22"/>
          <w:highlight w:val="none"/>
          <w:lang w:eastAsia="zh-CN"/>
        </w:rPr>
        <w:t>遴选</w:t>
      </w:r>
      <w:r>
        <w:rPr>
          <w:rFonts w:hint="eastAsia"/>
          <w:color w:val="auto"/>
          <w:szCs w:val="22"/>
          <w:highlight w:val="none"/>
        </w:rPr>
        <w:t>程序及方法、评审标准、无效响应和采购终止</w:t>
      </w:r>
      <w:bookmarkEnd w:id="328"/>
      <w:bookmarkEnd w:id="329"/>
      <w:bookmarkEnd w:id="330"/>
      <w:bookmarkEnd w:id="331"/>
      <w:bookmarkEnd w:id="332"/>
      <w:bookmarkEnd w:id="333"/>
      <w:bookmarkEnd w:id="334"/>
      <w:bookmarkEnd w:id="335"/>
      <w:bookmarkEnd w:id="336"/>
      <w:bookmarkEnd w:id="337"/>
      <w:bookmarkEnd w:id="338"/>
      <w:bookmarkEnd w:id="339"/>
      <w:bookmarkEnd w:id="340"/>
    </w:p>
    <w:p>
      <w:pPr>
        <w:spacing w:before="156" w:after="156" w:line="520" w:lineRule="exact"/>
        <w:ind w:firstLine="438" w:firstLineChars="200"/>
        <w:jc w:val="left"/>
        <w:outlineLvl w:val="1"/>
        <w:rPr>
          <w:rFonts w:eastAsia="仿宋" w:cs="宋体"/>
          <w:b/>
          <w:bCs/>
          <w:color w:val="auto"/>
          <w:szCs w:val="28"/>
          <w:highlight w:val="none"/>
        </w:rPr>
      </w:pPr>
      <w:bookmarkStart w:id="343" w:name="_Toc27190"/>
      <w:bookmarkStart w:id="344" w:name="_Toc24307"/>
      <w:bookmarkStart w:id="345" w:name="_Toc48837316"/>
      <w:bookmarkStart w:id="346" w:name="_Toc13507"/>
      <w:bookmarkStart w:id="347" w:name="_Toc24613"/>
      <w:bookmarkStart w:id="348" w:name="_Toc1562"/>
      <w:bookmarkStart w:id="349" w:name="_Toc30732"/>
      <w:bookmarkStart w:id="350" w:name="_Toc9779"/>
      <w:bookmarkStart w:id="351" w:name="_Toc22465"/>
      <w:bookmarkStart w:id="352" w:name="_Toc11657"/>
      <w:bookmarkStart w:id="353" w:name="_Toc29327"/>
      <w:bookmarkStart w:id="354" w:name="_Toc32136"/>
      <w:bookmarkStart w:id="355" w:name="_Toc28762"/>
      <w:bookmarkStart w:id="356" w:name="_Toc22527"/>
      <w:bookmarkStart w:id="357" w:name="_Toc13835"/>
      <w:bookmarkStart w:id="358" w:name="_Toc96"/>
      <w:bookmarkStart w:id="359" w:name="_Toc24723"/>
      <w:bookmarkStart w:id="360" w:name="_Toc10656"/>
      <w:bookmarkStart w:id="361" w:name="_Toc28893"/>
      <w:bookmarkStart w:id="362" w:name="_Toc8498"/>
      <w:bookmarkStart w:id="363" w:name="_Toc30420"/>
      <w:bookmarkStart w:id="364" w:name="_Toc32210"/>
      <w:bookmarkStart w:id="365" w:name="_Toc28796"/>
      <w:bookmarkStart w:id="366" w:name="_Toc12159"/>
      <w:bookmarkStart w:id="367" w:name="_Toc9442"/>
      <w:bookmarkStart w:id="368" w:name="_Toc22776"/>
      <w:r>
        <w:rPr>
          <w:rFonts w:hint="eastAsia" w:eastAsia="仿宋" w:cs="宋体"/>
          <w:b/>
          <w:bCs/>
          <w:color w:val="auto"/>
          <w:szCs w:val="28"/>
          <w:highlight w:val="none"/>
        </w:rPr>
        <w:t>一、</w:t>
      </w:r>
      <w:r>
        <w:rPr>
          <w:rFonts w:hint="eastAsia" w:eastAsia="仿宋" w:cs="宋体"/>
          <w:b/>
          <w:bCs/>
          <w:color w:val="auto"/>
          <w:szCs w:val="28"/>
          <w:highlight w:val="none"/>
          <w:lang w:eastAsia="zh-CN"/>
        </w:rPr>
        <w:t>遴选</w:t>
      </w:r>
      <w:r>
        <w:rPr>
          <w:rFonts w:hint="eastAsia" w:eastAsia="仿宋" w:cs="宋体"/>
          <w:b/>
          <w:bCs/>
          <w:color w:val="auto"/>
          <w:szCs w:val="28"/>
          <w:highlight w:val="none"/>
        </w:rPr>
        <w:t>程序及方法</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spacing w:line="520" w:lineRule="exact"/>
        <w:ind w:firstLine="438" w:firstLineChars="200"/>
        <w:jc w:val="left"/>
        <w:rPr>
          <w:rFonts w:ascii="方正仿宋_GBK" w:hAnsi="仿宋" w:eastAsia="仿宋" w:cs="仿宋"/>
          <w:color w:val="auto"/>
          <w:kern w:val="0"/>
          <w:szCs w:val="28"/>
          <w:highlight w:val="none"/>
        </w:rPr>
      </w:pPr>
      <w:bookmarkStart w:id="369" w:name="_Toc492721017"/>
      <w:bookmarkStart w:id="370" w:name="_Toc26415"/>
      <w:bookmarkStart w:id="371" w:name="_Toc495592656"/>
      <w:bookmarkStart w:id="372" w:name="_Toc493506300"/>
      <w:r>
        <w:rPr>
          <w:rFonts w:hint="eastAsia" w:ascii="方正仿宋_GBK" w:hAnsi="仿宋" w:eastAsia="仿宋" w:cs="仿宋"/>
          <w:color w:val="auto"/>
          <w:kern w:val="0"/>
          <w:szCs w:val="28"/>
          <w:highlight w:val="none"/>
        </w:rPr>
        <w:t>（一）</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文件规定的时间和地点进行，供应商须有法定代表人（或其授权代表）或自然人参加并签到。由本项目依法组建的</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小组（以下简称</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小组）分别与各供应商进行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小组对各供应商的资格条件、响应文件的有效性、完整性和响应程度进行审查。各供应商只有在完全符合要求的前提下，才能参与正式</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val="en-US" w:eastAsia="zh-CN"/>
        </w:rPr>
        <w:t>1.</w:t>
      </w:r>
      <w:r>
        <w:rPr>
          <w:rFonts w:hint="eastAsia" w:ascii="方正仿宋_GBK" w:hAnsi="仿宋" w:eastAsia="仿宋" w:cs="仿宋"/>
          <w:color w:val="auto"/>
          <w:kern w:val="0"/>
          <w:szCs w:val="28"/>
          <w:highlight w:val="none"/>
        </w:rPr>
        <w:t>资格性审查。依据法律法规和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文件的规定，对响应文件中的资格证明等进行审查，以确定供应商是否具备</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资格。资格性审查资料表如下：</w:t>
      </w:r>
    </w:p>
    <w:tbl>
      <w:tblPr>
        <w:tblStyle w:val="24"/>
        <w:tblW w:w="92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547"/>
        <w:gridCol w:w="1724"/>
        <w:gridCol w:w="5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750" w:type="dxa"/>
            <w:vAlign w:val="center"/>
          </w:tcPr>
          <w:p>
            <w:pPr>
              <w:keepNext w:val="0"/>
              <w:keepLines w:val="0"/>
              <w:suppressLineNumbers w:val="0"/>
              <w:spacing w:before="0" w:beforeAutospacing="0" w:after="0" w:afterAutospacing="0"/>
              <w:ind w:left="0" w:right="0"/>
              <w:jc w:val="center"/>
              <w:rPr>
                <w:rFonts w:hint="default" w:eastAsia="仿宋"/>
                <w:b/>
                <w:bCs/>
                <w:color w:val="auto"/>
                <w:kern w:val="0"/>
                <w:sz w:val="21"/>
                <w:szCs w:val="21"/>
                <w:highlight w:val="none"/>
              </w:rPr>
            </w:pPr>
            <w:r>
              <w:rPr>
                <w:rFonts w:hint="eastAsia" w:eastAsia="仿宋"/>
                <w:b/>
                <w:bCs/>
                <w:color w:val="auto"/>
                <w:kern w:val="0"/>
                <w:sz w:val="21"/>
                <w:szCs w:val="21"/>
                <w:highlight w:val="none"/>
              </w:rPr>
              <w:t>序号</w:t>
            </w:r>
          </w:p>
        </w:tc>
        <w:tc>
          <w:tcPr>
            <w:tcW w:w="3271" w:type="dxa"/>
            <w:gridSpan w:val="2"/>
            <w:vAlign w:val="center"/>
          </w:tcPr>
          <w:p>
            <w:pPr>
              <w:keepNext w:val="0"/>
              <w:keepLines w:val="0"/>
              <w:suppressLineNumbers w:val="0"/>
              <w:spacing w:before="0" w:beforeAutospacing="0" w:after="0" w:afterAutospacing="0"/>
              <w:ind w:left="0" w:right="0"/>
              <w:jc w:val="center"/>
              <w:rPr>
                <w:rFonts w:hint="default" w:eastAsia="仿宋"/>
                <w:b/>
                <w:bCs/>
                <w:color w:val="auto"/>
                <w:kern w:val="0"/>
                <w:sz w:val="21"/>
                <w:szCs w:val="21"/>
                <w:highlight w:val="none"/>
              </w:rPr>
            </w:pPr>
            <w:r>
              <w:rPr>
                <w:rFonts w:hint="eastAsia" w:eastAsia="仿宋"/>
                <w:b/>
                <w:bCs/>
                <w:color w:val="auto"/>
                <w:kern w:val="0"/>
                <w:sz w:val="21"/>
                <w:szCs w:val="21"/>
                <w:highlight w:val="none"/>
              </w:rPr>
              <w:t>检查因素</w:t>
            </w:r>
          </w:p>
        </w:tc>
        <w:tc>
          <w:tcPr>
            <w:tcW w:w="5211" w:type="dxa"/>
            <w:vAlign w:val="center"/>
          </w:tcPr>
          <w:p>
            <w:pPr>
              <w:keepNext w:val="0"/>
              <w:keepLines w:val="0"/>
              <w:suppressLineNumbers w:val="0"/>
              <w:spacing w:before="0" w:beforeAutospacing="0" w:after="0" w:afterAutospacing="0"/>
              <w:ind w:left="0" w:right="0"/>
              <w:jc w:val="center"/>
              <w:rPr>
                <w:rFonts w:hint="default" w:eastAsia="仿宋"/>
                <w:b/>
                <w:bCs/>
                <w:color w:val="auto"/>
                <w:kern w:val="0"/>
                <w:sz w:val="21"/>
                <w:szCs w:val="21"/>
                <w:highlight w:val="none"/>
              </w:rPr>
            </w:pPr>
            <w:r>
              <w:rPr>
                <w:rFonts w:hint="eastAsia" w:eastAsia="仿宋"/>
                <w:b/>
                <w:bCs/>
                <w:color w:val="auto"/>
                <w:kern w:val="0"/>
                <w:sz w:val="21"/>
                <w:szCs w:val="21"/>
                <w:highlight w:val="none"/>
              </w:rPr>
              <w:t>检查内容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6" w:hRule="atLeast"/>
          <w:jc w:val="center"/>
        </w:trPr>
        <w:tc>
          <w:tcPr>
            <w:tcW w:w="750"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（一）</w:t>
            </w:r>
          </w:p>
        </w:tc>
        <w:tc>
          <w:tcPr>
            <w:tcW w:w="1547"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《中华人民共和国政府采购法》第二十二条规定</w:t>
            </w: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1.具有独立承担民事责任的能力</w:t>
            </w:r>
          </w:p>
        </w:tc>
        <w:tc>
          <w:tcPr>
            <w:tcW w:w="5211"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1.供应商法人营业执照（副本）或事业单位法人证书（副本）或个体工商户营业执照或有效的自然人身份证明或社会团体法人登记证书（提供复印件）；</w:t>
            </w:r>
          </w:p>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供应商法定代表人身份证明书和法定代表人授权代表委托书。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9"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2.具有良好的商业信誉和健全的财务会计制度</w:t>
            </w:r>
          </w:p>
        </w:tc>
        <w:tc>
          <w:tcPr>
            <w:tcW w:w="5211" w:type="dxa"/>
            <w:vMerge w:val="restart"/>
            <w:vAlign w:val="center"/>
          </w:tcPr>
          <w:p>
            <w:pPr>
              <w:keepNext w:val="0"/>
              <w:keepLines w:val="0"/>
              <w:suppressLineNumbers w:val="0"/>
              <w:spacing w:before="0" w:beforeAutospacing="0" w:after="0" w:afterAutospacing="0"/>
              <w:ind w:left="0" w:right="0"/>
              <w:jc w:val="left"/>
              <w:rPr>
                <w:rFonts w:hint="eastAsia" w:eastAsia="仿宋"/>
                <w:color w:val="auto"/>
                <w:kern w:val="0"/>
                <w:sz w:val="21"/>
                <w:szCs w:val="21"/>
                <w:highlight w:val="none"/>
              </w:rPr>
            </w:pPr>
            <w:r>
              <w:rPr>
                <w:rFonts w:hint="eastAsia" w:eastAsia="仿宋"/>
                <w:color w:val="auto"/>
                <w:kern w:val="0"/>
                <w:sz w:val="21"/>
                <w:szCs w:val="21"/>
                <w:highlight w:val="none"/>
              </w:rPr>
              <w:t>2-5项供应商提供“基本资格条件承诺函”（格式见</w:t>
            </w:r>
            <w:r>
              <w:rPr>
                <w:rFonts w:hint="eastAsia" w:eastAsia="仿宋"/>
                <w:color w:val="auto"/>
                <w:kern w:val="0"/>
                <w:sz w:val="21"/>
                <w:szCs w:val="21"/>
                <w:highlight w:val="none"/>
                <w:lang w:eastAsia="zh-CN"/>
              </w:rPr>
              <w:t>后</w:t>
            </w:r>
            <w:r>
              <w:rPr>
                <w:rFonts w:hint="eastAsia" w:eastAsia="仿宋"/>
                <w:color w:val="auto"/>
                <w:kern w:val="0"/>
                <w:sz w:val="21"/>
                <w:szCs w:val="21"/>
                <w:highlight w:val="none"/>
              </w:rPr>
              <w:t>）</w:t>
            </w:r>
          </w:p>
          <w:p>
            <w:pPr>
              <w:pStyle w:val="4"/>
              <w:suppressLineNumbers w:val="0"/>
              <w:spacing w:before="0" w:beforeAutospacing="0" w:after="0" w:afterAutospacing="0"/>
              <w:ind w:left="0" w:leftChars="0" w:right="0" w:firstLine="0" w:firstLineChars="0"/>
              <w:rPr>
                <w:rFonts w:hint="default"/>
                <w:szCs w:val="20"/>
              </w:rPr>
            </w:pPr>
            <w:r>
              <w:rPr>
                <w:rFonts w:hint="eastAsia" w:ascii="Times New Roman" w:hAnsi="Times New Roman" w:eastAsia="仿宋" w:cs="Times New Roman"/>
                <w:b w:val="0"/>
                <w:color w:val="auto"/>
                <w:kern w:val="0"/>
                <w:sz w:val="21"/>
                <w:szCs w:val="21"/>
                <w:highlight w:val="none"/>
                <w:lang w:val="en-US" w:eastAsia="zh-CN" w:bidi="ar-SA"/>
              </w:rPr>
              <w:t>其中第4项如为授权代表参加遴选的，还需提供该项目授权代表近三个月缴纳社会保险参保证明。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1"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3.具有履行合同所必需的设备和专业技术能力</w:t>
            </w:r>
          </w:p>
        </w:tc>
        <w:tc>
          <w:tcPr>
            <w:tcW w:w="5211" w:type="dxa"/>
            <w:vMerge w:val="continue"/>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4.有依法缴纳税收和社会保障金的良好记录</w:t>
            </w:r>
          </w:p>
        </w:tc>
        <w:tc>
          <w:tcPr>
            <w:tcW w:w="5211" w:type="dxa"/>
            <w:vMerge w:val="continue"/>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6"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5.参加政府采购活动前三年内，在经营活动中没有重大违法记录</w:t>
            </w:r>
          </w:p>
        </w:tc>
        <w:tc>
          <w:tcPr>
            <w:tcW w:w="5211" w:type="dxa"/>
            <w:vMerge w:val="continue"/>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6.法律、行政法规规定的其他条件</w:t>
            </w:r>
          </w:p>
        </w:tc>
        <w:tc>
          <w:tcPr>
            <w:tcW w:w="5211"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750"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547"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4"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r>
              <w:rPr>
                <w:rFonts w:hint="eastAsia" w:eastAsia="仿宋"/>
                <w:color w:val="auto"/>
                <w:kern w:val="0"/>
                <w:sz w:val="21"/>
                <w:szCs w:val="21"/>
                <w:highlight w:val="none"/>
              </w:rPr>
              <w:t>7.特定资格条件</w:t>
            </w:r>
          </w:p>
        </w:tc>
        <w:tc>
          <w:tcPr>
            <w:tcW w:w="5211" w:type="dxa"/>
            <w:vAlign w:val="center"/>
          </w:tcPr>
          <w:p>
            <w:pPr>
              <w:keepNext w:val="0"/>
              <w:keepLines w:val="0"/>
              <w:suppressLineNumbers w:val="0"/>
              <w:spacing w:before="0" w:beforeAutospacing="0" w:after="0" w:afterAutospacing="0"/>
              <w:ind w:left="0" w:right="0"/>
              <w:jc w:val="left"/>
              <w:rPr>
                <w:rFonts w:hint="eastAsia" w:eastAsia="仿宋"/>
                <w:color w:val="auto"/>
                <w:kern w:val="0"/>
                <w:sz w:val="21"/>
                <w:szCs w:val="21"/>
                <w:highlight w:val="none"/>
                <w:lang w:val="en-US" w:eastAsia="zh-CN"/>
              </w:rPr>
            </w:pPr>
            <w:r>
              <w:rPr>
                <w:rFonts w:hint="eastAsia" w:ascii="Times New Roman" w:hAnsi="Times New Roman" w:eastAsia="仿宋" w:cs="Times New Roman"/>
                <w:color w:val="auto"/>
                <w:kern w:val="0"/>
                <w:sz w:val="21"/>
                <w:szCs w:val="21"/>
                <w:highlight w:val="none"/>
                <w:lang w:val="en-US" w:eastAsia="zh-CN"/>
              </w:rPr>
              <w:t>竞选人应具有有效期内的劳务派遣经营许可证和人力资源服务许可证。（竞选文件中提供证书复印件并加盖竞选人公章）</w:t>
            </w:r>
          </w:p>
        </w:tc>
      </w:tr>
    </w:tbl>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说明：以上资格检查证明材料，该年审的应当年审合格，设有效期的应当在有效期内，提供原件的应当有效。提供复印件的应当清晰可见并加盖供应商公章，评审现场能够提供原件以备查验。</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注：</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①供应商按“多证合一”登记制度办理营业执照的，组织机构代码证、税务登记证（副本）和社会保险登记证以供应商所提供的营业执照（副本）复印件为准。</w:t>
      </w:r>
    </w:p>
    <w:p>
      <w:pPr>
        <w:snapToGrid w:val="0"/>
        <w:spacing w:line="520" w:lineRule="exact"/>
        <w:ind w:firstLine="438" w:firstLineChars="200"/>
        <w:rPr>
          <w:rFonts w:ascii="方正仿宋_GBK" w:hAnsi="宋体" w:cs="宋体"/>
          <w:color w:val="auto"/>
          <w:kern w:val="0"/>
          <w:szCs w:val="24"/>
          <w:highlight w:val="none"/>
        </w:rPr>
      </w:pPr>
      <w:r>
        <w:rPr>
          <w:rFonts w:hint="eastAsia" w:ascii="方正仿宋_GBK" w:hAnsi="仿宋" w:eastAsia="仿宋" w:cs="仿宋"/>
          <w:color w:val="auto"/>
          <w:kern w:val="0"/>
          <w:szCs w:val="28"/>
          <w:highlight w:val="none"/>
        </w:rPr>
        <w:t>②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 号）”执行。</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2.符合性审查。依据</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文件的规定，从响应文件的有效性、完整性和对</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文件的响应程度进行审查，以确定是否对</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文件的实质性要求作出响应。符合性审查资料表如下：</w:t>
      </w:r>
    </w:p>
    <w:tbl>
      <w:tblPr>
        <w:tblStyle w:val="24"/>
        <w:tblW w:w="9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4"/>
        <w:gridCol w:w="1722"/>
        <w:gridCol w:w="1723"/>
        <w:gridCol w:w="50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74" w:type="dxa"/>
            <w:vAlign w:val="center"/>
          </w:tcPr>
          <w:p>
            <w:pPr>
              <w:keepNext w:val="0"/>
              <w:keepLines w:val="0"/>
              <w:suppressLineNumbers w:val="0"/>
              <w:spacing w:before="0" w:beforeAutospacing="0" w:after="0" w:afterAutospacing="0"/>
              <w:ind w:left="0" w:right="0"/>
              <w:jc w:val="center"/>
              <w:rPr>
                <w:rFonts w:hint="default" w:eastAsia="仿宋"/>
                <w:b/>
                <w:color w:val="auto"/>
                <w:kern w:val="0"/>
                <w:sz w:val="21"/>
                <w:szCs w:val="21"/>
                <w:highlight w:val="none"/>
              </w:rPr>
            </w:pPr>
            <w:r>
              <w:rPr>
                <w:rFonts w:hint="eastAsia" w:eastAsia="仿宋"/>
                <w:b/>
                <w:color w:val="auto"/>
                <w:kern w:val="0"/>
                <w:sz w:val="21"/>
                <w:szCs w:val="21"/>
                <w:highlight w:val="none"/>
              </w:rPr>
              <w:t>序号</w:t>
            </w:r>
          </w:p>
        </w:tc>
        <w:tc>
          <w:tcPr>
            <w:tcW w:w="3445" w:type="dxa"/>
            <w:gridSpan w:val="2"/>
            <w:vAlign w:val="center"/>
          </w:tcPr>
          <w:p>
            <w:pPr>
              <w:keepNext w:val="0"/>
              <w:keepLines w:val="0"/>
              <w:suppressLineNumbers w:val="0"/>
              <w:spacing w:before="0" w:beforeAutospacing="0" w:after="0" w:afterAutospacing="0"/>
              <w:ind w:left="0" w:right="0"/>
              <w:jc w:val="center"/>
              <w:rPr>
                <w:rFonts w:hint="default" w:eastAsia="仿宋"/>
                <w:b/>
                <w:color w:val="auto"/>
                <w:kern w:val="0"/>
                <w:sz w:val="21"/>
                <w:szCs w:val="21"/>
                <w:highlight w:val="none"/>
              </w:rPr>
            </w:pPr>
            <w:r>
              <w:rPr>
                <w:rFonts w:hint="eastAsia" w:eastAsia="仿宋"/>
                <w:b/>
                <w:color w:val="auto"/>
                <w:kern w:val="0"/>
                <w:sz w:val="21"/>
                <w:szCs w:val="21"/>
                <w:highlight w:val="none"/>
              </w:rPr>
              <w:t>评审因素</w:t>
            </w:r>
          </w:p>
        </w:tc>
        <w:tc>
          <w:tcPr>
            <w:tcW w:w="5058" w:type="dxa"/>
            <w:vAlign w:val="center"/>
          </w:tcPr>
          <w:p>
            <w:pPr>
              <w:keepNext w:val="0"/>
              <w:keepLines w:val="0"/>
              <w:suppressLineNumbers w:val="0"/>
              <w:spacing w:before="0" w:beforeAutospacing="0" w:after="0" w:afterAutospacing="0"/>
              <w:ind w:left="0" w:right="0"/>
              <w:jc w:val="center"/>
              <w:rPr>
                <w:rFonts w:hint="default" w:eastAsia="仿宋"/>
                <w:b/>
                <w:color w:val="auto"/>
                <w:kern w:val="0"/>
                <w:sz w:val="21"/>
                <w:szCs w:val="21"/>
                <w:highlight w:val="none"/>
              </w:rPr>
            </w:pPr>
            <w:r>
              <w:rPr>
                <w:rFonts w:hint="eastAsia" w:eastAsia="仿宋"/>
                <w:b/>
                <w:color w:val="auto"/>
                <w:kern w:val="0"/>
                <w:sz w:val="21"/>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774"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1</w:t>
            </w:r>
          </w:p>
        </w:tc>
        <w:tc>
          <w:tcPr>
            <w:tcW w:w="1722"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有效性审查</w:t>
            </w: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sz w:val="22"/>
                <w:szCs w:val="22"/>
                <w:highlight w:val="none"/>
              </w:rPr>
              <w:t>响应文件签署</w:t>
            </w:r>
          </w:p>
        </w:tc>
        <w:tc>
          <w:tcPr>
            <w:tcW w:w="5058"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sz w:val="22"/>
                <w:szCs w:val="22"/>
                <w:highlight w:val="none"/>
              </w:rPr>
              <w:t>响应文件上法定代表人或其授权代表人的签字齐全。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774"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2"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sz w:val="22"/>
                <w:szCs w:val="22"/>
                <w:highlight w:val="none"/>
                <w:lang w:val="zh-CN"/>
              </w:rPr>
            </w:pPr>
            <w:r>
              <w:rPr>
                <w:rFonts w:hint="eastAsia" w:eastAsia="仿宋"/>
                <w:color w:val="auto"/>
                <w:sz w:val="22"/>
                <w:szCs w:val="22"/>
                <w:highlight w:val="none"/>
              </w:rPr>
              <w:t>响应</w:t>
            </w:r>
            <w:r>
              <w:rPr>
                <w:rFonts w:hint="eastAsia" w:eastAsia="仿宋"/>
                <w:color w:val="auto"/>
                <w:sz w:val="22"/>
                <w:szCs w:val="22"/>
                <w:highlight w:val="none"/>
                <w:lang w:val="zh-CN"/>
              </w:rPr>
              <w:t>方案</w:t>
            </w:r>
          </w:p>
        </w:tc>
        <w:tc>
          <w:tcPr>
            <w:tcW w:w="5058"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sz w:val="22"/>
                <w:szCs w:val="22"/>
                <w:highlight w:val="none"/>
                <w:lang w:val="zh-CN"/>
              </w:rPr>
              <w:t>每个分包只能有一个</w:t>
            </w:r>
            <w:r>
              <w:rPr>
                <w:rFonts w:hint="eastAsia" w:eastAsia="仿宋"/>
                <w:color w:val="auto"/>
                <w:sz w:val="22"/>
                <w:szCs w:val="22"/>
                <w:highlight w:val="none"/>
              </w:rPr>
              <w:t>响应</w:t>
            </w:r>
            <w:r>
              <w:rPr>
                <w:rFonts w:hint="eastAsia" w:eastAsia="仿宋"/>
                <w:color w:val="auto"/>
                <w:sz w:val="22"/>
                <w:szCs w:val="22"/>
                <w:highlight w:val="none"/>
                <w:lang w:val="zh-CN"/>
              </w:rPr>
              <w:t>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774"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2</w:t>
            </w:r>
          </w:p>
        </w:tc>
        <w:tc>
          <w:tcPr>
            <w:tcW w:w="1722"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完整性审查</w:t>
            </w: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sz w:val="22"/>
                <w:szCs w:val="22"/>
                <w:highlight w:val="none"/>
              </w:rPr>
              <w:t>响应</w:t>
            </w:r>
            <w:r>
              <w:rPr>
                <w:rFonts w:hint="eastAsia" w:eastAsia="仿宋"/>
                <w:color w:val="auto"/>
                <w:sz w:val="22"/>
                <w:szCs w:val="22"/>
                <w:highlight w:val="none"/>
                <w:lang w:val="zh-CN"/>
              </w:rPr>
              <w:t>文件份数</w:t>
            </w:r>
          </w:p>
        </w:tc>
        <w:tc>
          <w:tcPr>
            <w:tcW w:w="5058"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sz w:val="22"/>
                <w:szCs w:val="22"/>
                <w:highlight w:val="none"/>
              </w:rPr>
              <w:t>响应</w:t>
            </w:r>
            <w:r>
              <w:rPr>
                <w:rFonts w:hint="eastAsia" w:eastAsia="仿宋"/>
                <w:color w:val="auto"/>
                <w:sz w:val="22"/>
                <w:szCs w:val="22"/>
                <w:highlight w:val="none"/>
                <w:lang w:val="zh-CN"/>
              </w:rPr>
              <w:t>文件正、副本数量符合</w:t>
            </w:r>
            <w:r>
              <w:rPr>
                <w:rFonts w:hint="eastAsia" w:eastAsia="仿宋"/>
                <w:color w:val="auto"/>
                <w:sz w:val="22"/>
                <w:szCs w:val="22"/>
                <w:highlight w:val="none"/>
                <w:lang w:eastAsia="zh-CN"/>
              </w:rPr>
              <w:t>遴选</w:t>
            </w:r>
            <w:r>
              <w:rPr>
                <w:rFonts w:hint="eastAsia" w:eastAsia="仿宋"/>
                <w:color w:val="auto"/>
                <w:sz w:val="22"/>
                <w:szCs w:val="22"/>
                <w:highlight w:val="none"/>
                <w:lang w:val="zh-CN"/>
              </w:rPr>
              <w:t>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774"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2" w:type="dxa"/>
            <w:vMerge w:val="continue"/>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sz w:val="22"/>
                <w:szCs w:val="22"/>
                <w:highlight w:val="none"/>
                <w:lang w:val="zh-CN"/>
              </w:rPr>
            </w:pPr>
            <w:r>
              <w:rPr>
                <w:rFonts w:hint="eastAsia" w:eastAsia="仿宋"/>
                <w:color w:val="auto"/>
                <w:sz w:val="22"/>
                <w:szCs w:val="22"/>
                <w:highlight w:val="none"/>
              </w:rPr>
              <w:t>响应</w:t>
            </w:r>
            <w:r>
              <w:rPr>
                <w:rFonts w:hint="eastAsia" w:eastAsia="仿宋"/>
                <w:color w:val="auto"/>
                <w:sz w:val="22"/>
                <w:szCs w:val="22"/>
                <w:highlight w:val="none"/>
                <w:lang w:val="zh-CN"/>
              </w:rPr>
              <w:t>文件内容</w:t>
            </w:r>
          </w:p>
        </w:tc>
        <w:tc>
          <w:tcPr>
            <w:tcW w:w="5058" w:type="dxa"/>
            <w:vAlign w:val="center"/>
          </w:tcPr>
          <w:p>
            <w:pPr>
              <w:keepNext w:val="0"/>
              <w:keepLines w:val="0"/>
              <w:suppressLineNumbers w:val="0"/>
              <w:spacing w:before="0" w:beforeAutospacing="0" w:after="0" w:afterAutospacing="0"/>
              <w:ind w:left="0" w:right="0"/>
              <w:jc w:val="left"/>
              <w:rPr>
                <w:rFonts w:hint="default" w:eastAsia="仿宋"/>
                <w:color w:val="auto"/>
                <w:sz w:val="22"/>
                <w:szCs w:val="22"/>
                <w:highlight w:val="none"/>
                <w:lang w:val="zh-CN"/>
              </w:rPr>
            </w:pPr>
            <w:r>
              <w:rPr>
                <w:rFonts w:hint="eastAsia" w:eastAsia="仿宋"/>
                <w:color w:val="auto"/>
                <w:sz w:val="22"/>
                <w:szCs w:val="22"/>
                <w:highlight w:val="none"/>
              </w:rPr>
              <w:t>响应</w:t>
            </w:r>
            <w:r>
              <w:rPr>
                <w:rFonts w:hint="eastAsia" w:eastAsia="仿宋"/>
                <w:color w:val="auto"/>
                <w:sz w:val="22"/>
                <w:szCs w:val="22"/>
                <w:highlight w:val="none"/>
                <w:lang w:val="zh-CN"/>
              </w:rPr>
              <w:t>文件内容齐全、无遗漏。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74"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kern w:val="0"/>
                <w:sz w:val="21"/>
                <w:szCs w:val="21"/>
                <w:highlight w:val="none"/>
              </w:rPr>
            </w:pPr>
            <w:r>
              <w:rPr>
                <w:rFonts w:hint="eastAsia" w:eastAsia="仿宋"/>
                <w:color w:val="auto"/>
                <w:kern w:val="0"/>
                <w:sz w:val="21"/>
                <w:szCs w:val="21"/>
                <w:highlight w:val="none"/>
              </w:rPr>
              <w:t>3</w:t>
            </w:r>
          </w:p>
        </w:tc>
        <w:tc>
          <w:tcPr>
            <w:tcW w:w="1722" w:type="dxa"/>
            <w:vMerge w:val="restart"/>
            <w:vAlign w:val="center"/>
          </w:tcPr>
          <w:p>
            <w:pPr>
              <w:keepNext w:val="0"/>
              <w:keepLines w:val="0"/>
              <w:suppressLineNumbers w:val="0"/>
              <w:spacing w:before="0" w:beforeAutospacing="0" w:after="0" w:afterAutospacing="0"/>
              <w:ind w:left="0" w:right="0"/>
              <w:jc w:val="center"/>
              <w:rPr>
                <w:rFonts w:hint="default" w:eastAsia="仿宋"/>
                <w:color w:val="auto"/>
                <w:sz w:val="21"/>
                <w:szCs w:val="21"/>
                <w:highlight w:val="none"/>
                <w:lang w:val="zh-CN"/>
              </w:rPr>
            </w:pPr>
            <w:r>
              <w:rPr>
                <w:rFonts w:hint="eastAsia" w:eastAsia="仿宋"/>
                <w:color w:val="auto"/>
                <w:kern w:val="0"/>
                <w:sz w:val="21"/>
                <w:szCs w:val="21"/>
                <w:highlight w:val="none"/>
                <w:lang w:eastAsia="zh-CN"/>
              </w:rPr>
              <w:t>遴选</w:t>
            </w:r>
            <w:r>
              <w:rPr>
                <w:rFonts w:hint="eastAsia" w:eastAsia="仿宋"/>
                <w:color w:val="auto"/>
                <w:kern w:val="0"/>
                <w:sz w:val="21"/>
                <w:szCs w:val="21"/>
                <w:highlight w:val="none"/>
              </w:rPr>
              <w:t>文件的响应程度审查</w:t>
            </w: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kern w:val="0"/>
                <w:sz w:val="22"/>
                <w:szCs w:val="22"/>
                <w:highlight w:val="none"/>
              </w:rPr>
              <w:t>响应文件内容</w:t>
            </w:r>
          </w:p>
        </w:tc>
        <w:tc>
          <w:tcPr>
            <w:tcW w:w="5058" w:type="dxa"/>
            <w:vAlign w:val="center"/>
          </w:tcPr>
          <w:p>
            <w:pPr>
              <w:pStyle w:val="11"/>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default" w:ascii="Times New Roman" w:hAnsi="Times New Roman" w:eastAsia="仿宋" w:cs="Times New Roman"/>
                <w:color w:val="auto"/>
                <w:kern w:val="2"/>
                <w:sz w:val="22"/>
                <w:szCs w:val="22"/>
                <w:highlight w:val="none"/>
                <w:lang w:val="zh-CN" w:eastAsia="zh-CN" w:bidi="ar-SA"/>
              </w:rPr>
              <w:t>对</w:t>
            </w:r>
            <w:r>
              <w:rPr>
                <w:rFonts w:hint="eastAsia" w:ascii="Times New Roman" w:hAnsi="Times New Roman" w:eastAsia="仿宋" w:cs="Times New Roman"/>
                <w:color w:val="auto"/>
                <w:kern w:val="2"/>
                <w:sz w:val="22"/>
                <w:szCs w:val="22"/>
                <w:highlight w:val="none"/>
                <w:lang w:val="zh-CN" w:eastAsia="zh-CN" w:bidi="ar-SA"/>
              </w:rPr>
              <w:t>遴选</w:t>
            </w:r>
            <w:r>
              <w:rPr>
                <w:rFonts w:hint="default" w:ascii="Times New Roman" w:hAnsi="Times New Roman" w:eastAsia="仿宋" w:cs="Times New Roman"/>
                <w:color w:val="auto"/>
                <w:kern w:val="2"/>
                <w:sz w:val="22"/>
                <w:szCs w:val="22"/>
                <w:highlight w:val="none"/>
                <w:lang w:val="zh-CN" w:eastAsia="zh-CN" w:bidi="ar-SA"/>
              </w:rPr>
              <w:t>文件第二、三篇规定的</w:t>
            </w:r>
            <w:r>
              <w:rPr>
                <w:rFonts w:hint="eastAsia" w:eastAsia="仿宋" w:cs="Times New Roman"/>
                <w:color w:val="auto"/>
                <w:kern w:val="2"/>
                <w:sz w:val="22"/>
                <w:szCs w:val="22"/>
                <w:highlight w:val="none"/>
                <w:lang w:val="zh-CN" w:eastAsia="zh-CN" w:bidi="ar-SA"/>
              </w:rPr>
              <w:t>全部</w:t>
            </w:r>
            <w:r>
              <w:rPr>
                <w:rFonts w:hint="eastAsia" w:ascii="Times New Roman" w:hAnsi="Times New Roman" w:eastAsia="仿宋" w:cs="Times New Roman"/>
                <w:color w:val="auto"/>
                <w:kern w:val="2"/>
                <w:sz w:val="22"/>
                <w:szCs w:val="22"/>
                <w:highlight w:val="none"/>
                <w:lang w:val="zh-CN" w:eastAsia="zh-CN" w:bidi="ar-SA"/>
              </w:rPr>
              <w:t>遴选</w:t>
            </w:r>
            <w:r>
              <w:rPr>
                <w:rFonts w:hint="default" w:ascii="Times New Roman" w:hAnsi="Times New Roman" w:eastAsia="仿宋" w:cs="Times New Roman"/>
                <w:color w:val="auto"/>
                <w:kern w:val="2"/>
                <w:sz w:val="22"/>
                <w:szCs w:val="22"/>
                <w:highlight w:val="none"/>
                <w:lang w:val="zh-CN" w:eastAsia="zh-CN" w:bidi="ar-SA"/>
              </w:rPr>
              <w:t>内容作出响应。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74" w:type="dxa"/>
            <w:vMerge w:val="continue"/>
            <w:vAlign w:val="center"/>
          </w:tcPr>
          <w:p>
            <w:pPr>
              <w:keepNext w:val="0"/>
              <w:keepLines w:val="0"/>
              <w:suppressLineNumbers w:val="0"/>
              <w:spacing w:before="0" w:beforeAutospacing="0" w:after="0" w:afterAutospacing="0"/>
              <w:ind w:left="0" w:right="0"/>
              <w:jc w:val="left"/>
              <w:rPr>
                <w:rFonts w:hint="default" w:eastAsia="仿宋"/>
                <w:color w:val="auto"/>
                <w:kern w:val="0"/>
                <w:sz w:val="21"/>
                <w:szCs w:val="21"/>
                <w:highlight w:val="none"/>
              </w:rPr>
            </w:pPr>
          </w:p>
        </w:tc>
        <w:tc>
          <w:tcPr>
            <w:tcW w:w="1722" w:type="dxa"/>
            <w:vMerge w:val="continue"/>
            <w:vAlign w:val="center"/>
          </w:tcPr>
          <w:p>
            <w:pPr>
              <w:keepNext w:val="0"/>
              <w:keepLines w:val="0"/>
              <w:suppressLineNumbers w:val="0"/>
              <w:spacing w:before="0" w:beforeAutospacing="0" w:after="0" w:afterAutospacing="0"/>
              <w:ind w:left="0" w:right="0"/>
              <w:jc w:val="left"/>
              <w:rPr>
                <w:rFonts w:hint="default" w:eastAsia="仿宋"/>
                <w:color w:val="auto"/>
                <w:sz w:val="21"/>
                <w:szCs w:val="21"/>
                <w:highlight w:val="none"/>
                <w:lang w:val="zh-CN"/>
              </w:rPr>
            </w:pPr>
          </w:p>
        </w:tc>
        <w:tc>
          <w:tcPr>
            <w:tcW w:w="1723"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kern w:val="0"/>
                <w:sz w:val="22"/>
                <w:szCs w:val="22"/>
                <w:highlight w:val="none"/>
                <w:lang w:eastAsia="zh-CN"/>
              </w:rPr>
              <w:t>遴选</w:t>
            </w:r>
            <w:r>
              <w:rPr>
                <w:rFonts w:hint="eastAsia" w:eastAsia="仿宋"/>
                <w:color w:val="auto"/>
                <w:kern w:val="0"/>
                <w:sz w:val="22"/>
                <w:szCs w:val="22"/>
                <w:highlight w:val="none"/>
              </w:rPr>
              <w:t>有效期</w:t>
            </w:r>
          </w:p>
        </w:tc>
        <w:tc>
          <w:tcPr>
            <w:tcW w:w="5058" w:type="dxa"/>
            <w:vAlign w:val="center"/>
          </w:tcPr>
          <w:p>
            <w:pPr>
              <w:keepNext w:val="0"/>
              <w:keepLines w:val="0"/>
              <w:suppressLineNumbers w:val="0"/>
              <w:spacing w:before="0" w:beforeAutospacing="0" w:after="0" w:afterAutospacing="0"/>
              <w:ind w:left="0" w:right="0"/>
              <w:jc w:val="left"/>
              <w:rPr>
                <w:rFonts w:hint="default" w:eastAsia="仿宋"/>
                <w:color w:val="auto"/>
                <w:kern w:val="0"/>
                <w:sz w:val="22"/>
                <w:szCs w:val="22"/>
                <w:highlight w:val="none"/>
              </w:rPr>
            </w:pPr>
            <w:r>
              <w:rPr>
                <w:rFonts w:hint="eastAsia" w:eastAsia="仿宋"/>
                <w:color w:val="auto"/>
                <w:kern w:val="0"/>
                <w:sz w:val="22"/>
                <w:szCs w:val="22"/>
                <w:highlight w:val="none"/>
              </w:rPr>
              <w:t>响应文件及有关承诺文件有效期为提交响应文件截止时间起90天</w:t>
            </w:r>
          </w:p>
        </w:tc>
      </w:tr>
    </w:tbl>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（三）澄清有关问题。</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（四）</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（五）在</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过程中</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的任何一方不得向他人透露与</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有关的服务资料、价格或其他信息。</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（六）本项目采用综合评分法进行评选。</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综合评分法，是指</w:t>
      </w:r>
      <w:r>
        <w:rPr>
          <w:rFonts w:hint="eastAsia" w:ascii="方正仿宋_GBK" w:hAnsi="仿宋" w:eastAsia="仿宋" w:cs="仿宋"/>
          <w:color w:val="auto"/>
          <w:kern w:val="0"/>
          <w:szCs w:val="28"/>
          <w:highlight w:val="none"/>
          <w:lang w:eastAsia="zh-CN"/>
        </w:rPr>
        <w:t>竞选文件</w:t>
      </w:r>
      <w:r>
        <w:rPr>
          <w:rFonts w:hint="eastAsia" w:ascii="方正仿宋_GBK" w:hAnsi="仿宋" w:eastAsia="仿宋" w:cs="仿宋"/>
          <w:color w:val="auto"/>
          <w:kern w:val="0"/>
          <w:szCs w:val="28"/>
          <w:highlight w:val="none"/>
        </w:rPr>
        <w:t>满足</w:t>
      </w:r>
      <w:r>
        <w:rPr>
          <w:rFonts w:hint="eastAsia" w:ascii="方正仿宋_GBK" w:hAnsi="仿宋" w:eastAsia="仿宋" w:cs="仿宋"/>
          <w:color w:val="auto"/>
          <w:kern w:val="0"/>
          <w:szCs w:val="28"/>
          <w:highlight w:val="none"/>
          <w:lang w:eastAsia="zh-CN"/>
        </w:rPr>
        <w:t>公开遴选文件</w:t>
      </w:r>
      <w:r>
        <w:rPr>
          <w:rFonts w:hint="eastAsia" w:ascii="方正仿宋_GBK" w:hAnsi="仿宋" w:eastAsia="仿宋" w:cs="仿宋"/>
          <w:color w:val="auto"/>
          <w:kern w:val="0"/>
          <w:szCs w:val="28"/>
          <w:highlight w:val="none"/>
        </w:rPr>
        <w:t>全部实质性要求且按照评审因素的指标评审得分最高的竞选人为中选候选人的评选方法。竞选人总得分为商务、服务等评定因素分别按照相应权重值计算分项得分后相加，满分为100分。</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（七）比较与评价。按</w:t>
      </w:r>
      <w:r>
        <w:rPr>
          <w:rFonts w:hint="eastAsia" w:ascii="方正仿宋_GBK" w:hAnsi="仿宋" w:eastAsia="仿宋" w:cs="仿宋"/>
          <w:color w:val="auto"/>
          <w:kern w:val="0"/>
          <w:szCs w:val="28"/>
          <w:highlight w:val="none"/>
          <w:lang w:eastAsia="zh-CN"/>
        </w:rPr>
        <w:t>公开遴选文件</w:t>
      </w:r>
      <w:r>
        <w:rPr>
          <w:rFonts w:hint="eastAsia" w:ascii="方正仿宋_GBK" w:hAnsi="仿宋" w:eastAsia="仿宋" w:cs="仿宋"/>
          <w:color w:val="auto"/>
          <w:kern w:val="0"/>
          <w:szCs w:val="28"/>
          <w:highlight w:val="none"/>
        </w:rPr>
        <w:t>中规定的评选方法和标准，对资格审查和符合性审查合格的</w:t>
      </w:r>
      <w:r>
        <w:rPr>
          <w:rFonts w:hint="eastAsia" w:ascii="方正仿宋_GBK" w:hAnsi="仿宋" w:eastAsia="仿宋" w:cs="仿宋"/>
          <w:color w:val="auto"/>
          <w:kern w:val="0"/>
          <w:szCs w:val="28"/>
          <w:highlight w:val="none"/>
          <w:lang w:eastAsia="zh-CN"/>
        </w:rPr>
        <w:t>竞选文件</w:t>
      </w:r>
      <w:r>
        <w:rPr>
          <w:rFonts w:hint="eastAsia" w:ascii="方正仿宋_GBK" w:hAnsi="仿宋" w:eastAsia="仿宋" w:cs="仿宋"/>
          <w:color w:val="auto"/>
          <w:kern w:val="0"/>
          <w:szCs w:val="28"/>
          <w:highlight w:val="none"/>
        </w:rPr>
        <w:t>进行商务和服务评估。</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八</w:t>
      </w:r>
      <w:r>
        <w:rPr>
          <w:rFonts w:hint="eastAsia" w:ascii="方正仿宋_GBK" w:hAnsi="仿宋" w:eastAsia="仿宋" w:cs="仿宋"/>
          <w:color w:val="auto"/>
          <w:kern w:val="0"/>
          <w:szCs w:val="28"/>
          <w:highlight w:val="none"/>
        </w:rPr>
        <w:t>）推荐中选候选人名单。按评审后得分由高到低的排列顺序推荐综合得分排名前三的竞选人为本</w:t>
      </w:r>
      <w:r>
        <w:rPr>
          <w:rFonts w:hint="eastAsia" w:ascii="方正仿宋_GBK" w:hAnsi="仿宋" w:eastAsia="仿宋" w:cs="仿宋"/>
          <w:color w:val="auto"/>
          <w:kern w:val="0"/>
          <w:szCs w:val="28"/>
          <w:highlight w:val="none"/>
          <w:lang w:val="en-US" w:eastAsia="zh-CN"/>
        </w:rPr>
        <w:t>项目</w:t>
      </w:r>
      <w:r>
        <w:rPr>
          <w:rFonts w:hint="eastAsia" w:ascii="方正仿宋_GBK" w:hAnsi="仿宋" w:eastAsia="仿宋" w:cs="仿宋"/>
          <w:color w:val="auto"/>
          <w:kern w:val="0"/>
          <w:szCs w:val="28"/>
          <w:highlight w:val="none"/>
        </w:rPr>
        <w:t>中选候选人，排名第一的为第一中选候选人。总得分相同的，按照</w:t>
      </w:r>
      <w:r>
        <w:rPr>
          <w:rFonts w:hint="eastAsia" w:ascii="方正仿宋_GBK" w:hAnsi="仿宋" w:eastAsia="仿宋" w:cs="仿宋"/>
          <w:color w:val="auto"/>
          <w:kern w:val="0"/>
          <w:szCs w:val="28"/>
          <w:highlight w:val="none"/>
          <w:lang w:eastAsia="zh-CN"/>
        </w:rPr>
        <w:t>报名的先后顺序确定</w:t>
      </w:r>
      <w:r>
        <w:rPr>
          <w:rFonts w:hint="eastAsia" w:ascii="方正仿宋_GBK" w:hAnsi="仿宋" w:eastAsia="仿宋" w:cs="仿宋"/>
          <w:color w:val="auto"/>
          <w:kern w:val="0"/>
          <w:szCs w:val="28"/>
          <w:highlight w:val="none"/>
        </w:rPr>
        <w:t>。</w:t>
      </w:r>
    </w:p>
    <w:p>
      <w:pPr>
        <w:spacing w:before="156" w:after="156" w:line="520" w:lineRule="exact"/>
        <w:ind w:firstLine="438" w:firstLineChars="200"/>
        <w:jc w:val="left"/>
        <w:outlineLvl w:val="1"/>
        <w:rPr>
          <w:rFonts w:hint="eastAsia" w:ascii="Times New Roman" w:hAnsi="Times New Roman" w:eastAsia="仿宋" w:cs="宋体"/>
          <w:b/>
          <w:bCs/>
          <w:color w:val="auto"/>
          <w:szCs w:val="28"/>
          <w:highlight w:val="none"/>
        </w:rPr>
      </w:pPr>
      <w:bookmarkStart w:id="373" w:name="_Toc9744"/>
      <w:bookmarkStart w:id="374" w:name="_Toc31234"/>
      <w:bookmarkStart w:id="375" w:name="_Toc48837317"/>
      <w:bookmarkStart w:id="376" w:name="_Toc4709"/>
      <w:bookmarkStart w:id="377" w:name="_Toc15483"/>
      <w:bookmarkStart w:id="378" w:name="_Toc32094"/>
      <w:bookmarkStart w:id="379" w:name="_Toc31146"/>
      <w:bookmarkStart w:id="380" w:name="_Toc8521"/>
      <w:bookmarkStart w:id="381" w:name="_Toc29339"/>
      <w:bookmarkStart w:id="382" w:name="_Toc25800"/>
      <w:bookmarkStart w:id="383" w:name="_Toc861"/>
      <w:bookmarkStart w:id="384" w:name="_Toc32741"/>
      <w:bookmarkStart w:id="385" w:name="_Toc8366"/>
      <w:bookmarkStart w:id="386" w:name="_Toc28674"/>
      <w:bookmarkStart w:id="387" w:name="_Toc6010"/>
      <w:bookmarkStart w:id="388" w:name="_Toc20066"/>
      <w:bookmarkStart w:id="389" w:name="_Toc9513"/>
      <w:bookmarkStart w:id="390" w:name="_Toc5149"/>
      <w:bookmarkStart w:id="391" w:name="_Toc20991"/>
      <w:bookmarkStart w:id="392" w:name="_Toc32625"/>
      <w:bookmarkStart w:id="393" w:name="_Toc3255"/>
      <w:bookmarkStart w:id="394" w:name="_Toc13978"/>
      <w:bookmarkStart w:id="395" w:name="_Toc5083"/>
      <w:bookmarkStart w:id="396" w:name="_Toc14750"/>
      <w:bookmarkStart w:id="397" w:name="_Toc981"/>
      <w:bookmarkStart w:id="398" w:name="_Toc7410"/>
      <w:r>
        <w:rPr>
          <w:rFonts w:hint="eastAsia" w:ascii="Times New Roman" w:hAnsi="Times New Roman" w:eastAsia="仿宋" w:cs="宋体"/>
          <w:b/>
          <w:bCs/>
          <w:color w:val="auto"/>
          <w:szCs w:val="28"/>
          <w:highlight w:val="none"/>
          <w:lang w:eastAsia="zh-CN"/>
        </w:rPr>
        <w:t>二、</w:t>
      </w:r>
      <w:r>
        <w:rPr>
          <w:rFonts w:hint="eastAsia" w:ascii="Times New Roman" w:hAnsi="Times New Roman" w:eastAsia="仿宋" w:cs="宋体"/>
          <w:b/>
          <w:bCs/>
          <w:color w:val="auto"/>
          <w:szCs w:val="28"/>
          <w:highlight w:val="none"/>
        </w:rPr>
        <w:t>评审标准</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tbl>
      <w:tblPr>
        <w:tblStyle w:val="24"/>
        <w:tblW w:w="9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
        <w:gridCol w:w="1590"/>
        <w:gridCol w:w="915"/>
        <w:gridCol w:w="3765"/>
        <w:gridCol w:w="25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rPr>
            </w:pPr>
            <w:bookmarkStart w:id="399" w:name="_Toc521"/>
            <w:bookmarkStart w:id="400" w:name="_Toc8076"/>
            <w:bookmarkStart w:id="401" w:name="_Toc22532"/>
            <w:bookmarkStart w:id="402" w:name="_Toc32107"/>
            <w:bookmarkStart w:id="403" w:name="_Toc2090"/>
            <w:bookmarkStart w:id="404" w:name="_Toc27554"/>
            <w:bookmarkStart w:id="405" w:name="_Toc3598"/>
            <w:bookmarkStart w:id="406" w:name="_Toc14187"/>
            <w:bookmarkStart w:id="407" w:name="_Toc65512153"/>
            <w:bookmarkStart w:id="408" w:name="_Toc48837318"/>
            <w:bookmarkStart w:id="409" w:name="_Toc2463"/>
            <w:bookmarkStart w:id="410" w:name="_Toc13857"/>
            <w:bookmarkStart w:id="411" w:name="_Toc19280"/>
            <w:bookmarkStart w:id="412" w:name="_Toc12698"/>
            <w:bookmarkStart w:id="413" w:name="_Toc5155"/>
            <w:bookmarkStart w:id="414" w:name="_Toc23685"/>
            <w:bookmarkStart w:id="415" w:name="_Toc16350"/>
            <w:bookmarkStart w:id="416" w:name="_Toc16220"/>
            <w:bookmarkStart w:id="417" w:name="_Toc30220"/>
            <w:bookmarkStart w:id="418" w:name="_Toc17257"/>
            <w:bookmarkStart w:id="419" w:name="_Toc32306"/>
            <w:bookmarkStart w:id="420" w:name="_Toc731"/>
            <w:bookmarkStart w:id="421" w:name="_Toc20884"/>
            <w:bookmarkStart w:id="422" w:name="_Toc16045"/>
            <w:bookmarkStart w:id="423" w:name="_Toc32421"/>
            <w:bookmarkStart w:id="424" w:name="_Toc2703"/>
            <w:bookmarkStart w:id="425" w:name="_Toc26383"/>
            <w:bookmarkStart w:id="426" w:name="_Toc3301"/>
            <w:bookmarkStart w:id="427" w:name="_Toc394390666"/>
            <w:r>
              <w:rPr>
                <w:rFonts w:hint="eastAsia" w:ascii="方正仿宋_GBK" w:hAnsi="仿宋" w:eastAsia="仿宋" w:cs="仿宋"/>
                <w:color w:val="auto"/>
                <w:kern w:val="0"/>
                <w:szCs w:val="28"/>
                <w:highlight w:val="none"/>
              </w:rPr>
              <w:t>序号</w:t>
            </w:r>
          </w:p>
        </w:tc>
        <w:tc>
          <w:tcPr>
            <w:tcW w:w="1590"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评选内容</w:t>
            </w: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eastAsia="zh-CN"/>
              </w:rPr>
            </w:pPr>
            <w:r>
              <w:rPr>
                <w:rFonts w:hint="eastAsia" w:ascii="方正仿宋_GBK" w:hAnsi="仿宋" w:eastAsia="仿宋" w:cs="仿宋"/>
                <w:color w:val="auto"/>
                <w:kern w:val="0"/>
                <w:szCs w:val="28"/>
                <w:highlight w:val="none"/>
                <w:lang w:eastAsia="zh-CN"/>
              </w:rPr>
              <w:t>分值</w:t>
            </w:r>
          </w:p>
        </w:tc>
        <w:tc>
          <w:tcPr>
            <w:tcW w:w="376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评选标准</w:t>
            </w:r>
          </w:p>
        </w:tc>
        <w:tc>
          <w:tcPr>
            <w:tcW w:w="257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1</w:t>
            </w:r>
          </w:p>
        </w:tc>
        <w:tc>
          <w:tcPr>
            <w:tcW w:w="1590" w:type="dxa"/>
            <w:noWrap w:val="0"/>
            <w:vAlign w:val="center"/>
          </w:tcPr>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公司现场介绍（30分）</w:t>
            </w: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30</w:t>
            </w:r>
          </w:p>
        </w:tc>
        <w:tc>
          <w:tcPr>
            <w:tcW w:w="376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eastAsia="zh-CN"/>
              </w:rPr>
            </w:pPr>
            <w:r>
              <w:rPr>
                <w:rFonts w:hint="eastAsia" w:ascii="方正仿宋_GBK" w:hAnsi="仿宋" w:eastAsia="仿宋" w:cs="仿宋"/>
                <w:color w:val="auto"/>
                <w:kern w:val="0"/>
                <w:szCs w:val="28"/>
                <w:highlight w:val="none"/>
                <w:lang w:eastAsia="zh-CN"/>
              </w:rPr>
              <w:t>利用</w:t>
            </w:r>
            <w:r>
              <w:rPr>
                <w:rFonts w:hint="eastAsia" w:ascii="方正仿宋_GBK" w:hAnsi="仿宋" w:eastAsia="仿宋" w:cs="仿宋"/>
                <w:color w:val="auto"/>
                <w:kern w:val="0"/>
                <w:szCs w:val="28"/>
                <w:highlight w:val="none"/>
                <w:lang w:val="en-US" w:eastAsia="zh-CN"/>
              </w:rPr>
              <w:t>PPT对公司现场介绍，</w:t>
            </w:r>
            <w:r>
              <w:rPr>
                <w:rFonts w:hint="eastAsia" w:ascii="方正仿宋_GBK" w:hAnsi="仿宋" w:eastAsia="仿宋" w:cs="仿宋"/>
                <w:color w:val="auto"/>
                <w:kern w:val="0"/>
                <w:szCs w:val="28"/>
                <w:highlight w:val="none"/>
                <w:lang w:eastAsia="zh-CN"/>
              </w:rPr>
              <w:t>介绍口齿清楚、流畅，对提问对答如流。介绍时间</w:t>
            </w:r>
            <w:r>
              <w:rPr>
                <w:rFonts w:hint="eastAsia" w:ascii="方正仿宋_GBK" w:hAnsi="仿宋" w:eastAsia="仿宋" w:cs="仿宋"/>
                <w:color w:val="auto"/>
                <w:kern w:val="0"/>
                <w:szCs w:val="28"/>
                <w:highlight w:val="none"/>
                <w:lang w:val="en-US" w:eastAsia="zh-CN"/>
              </w:rPr>
              <w:t>6分钟，提问时间2分钟。内容</w:t>
            </w:r>
            <w:r>
              <w:rPr>
                <w:rFonts w:hint="eastAsia" w:ascii="方正仿宋_GBK" w:hAnsi="仿宋" w:eastAsia="仿宋" w:cs="仿宋"/>
                <w:color w:val="auto"/>
                <w:kern w:val="0"/>
                <w:szCs w:val="28"/>
                <w:highlight w:val="none"/>
                <w:lang w:eastAsia="zh-CN"/>
              </w:rPr>
              <w:t>主要包括公司简介、服务流程、人员保障、安全保障、进退场交接措施等。</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此处不存在</w:t>
            </w:r>
            <w:r>
              <w:rPr>
                <w:rFonts w:hint="eastAsia" w:ascii="方正仿宋_GBK" w:hAnsi="仿宋" w:eastAsia="仿宋" w:cs="仿宋"/>
                <w:color w:val="auto"/>
                <w:kern w:val="0"/>
                <w:szCs w:val="28"/>
                <w:highlight w:val="none"/>
              </w:rPr>
              <w:t>瑕疵，得</w:t>
            </w:r>
            <w:r>
              <w:rPr>
                <w:rFonts w:hint="eastAsia" w:ascii="方正仿宋_GBK" w:hAnsi="仿宋" w:eastAsia="仿宋" w:cs="仿宋"/>
                <w:color w:val="auto"/>
                <w:kern w:val="0"/>
                <w:szCs w:val="28"/>
                <w:highlight w:val="none"/>
                <w:lang w:val="en-US" w:eastAsia="zh-CN"/>
              </w:rPr>
              <w:t>30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存在1处瑕疵，得</w:t>
            </w:r>
            <w:r>
              <w:rPr>
                <w:rFonts w:hint="eastAsia" w:ascii="方正仿宋_GBK" w:hAnsi="仿宋" w:eastAsia="仿宋" w:cs="仿宋"/>
                <w:color w:val="auto"/>
                <w:kern w:val="0"/>
                <w:szCs w:val="28"/>
                <w:highlight w:val="none"/>
                <w:lang w:val="en-US" w:eastAsia="zh-CN"/>
              </w:rPr>
              <w:t>25</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w:t>
            </w:r>
            <w:r>
              <w:rPr>
                <w:rFonts w:hint="eastAsia" w:ascii="方正仿宋_GBK" w:hAnsi="仿宋" w:eastAsia="仿宋" w:cs="仿宋"/>
                <w:color w:val="auto"/>
                <w:kern w:val="0"/>
                <w:szCs w:val="28"/>
                <w:highlight w:val="none"/>
                <w:lang w:val="en-US" w:eastAsia="zh-CN"/>
              </w:rPr>
              <w:t>2</w:t>
            </w:r>
            <w:r>
              <w:rPr>
                <w:rFonts w:hint="eastAsia" w:ascii="方正仿宋_GBK" w:hAnsi="仿宋" w:eastAsia="仿宋" w:cs="仿宋"/>
                <w:color w:val="auto"/>
                <w:kern w:val="0"/>
                <w:szCs w:val="28"/>
                <w:highlight w:val="none"/>
              </w:rPr>
              <w:t>处瑕疵，得</w:t>
            </w:r>
            <w:r>
              <w:rPr>
                <w:rFonts w:hint="eastAsia" w:ascii="方正仿宋_GBK" w:hAnsi="仿宋" w:eastAsia="仿宋" w:cs="仿宋"/>
                <w:color w:val="auto"/>
                <w:kern w:val="0"/>
                <w:szCs w:val="28"/>
                <w:highlight w:val="none"/>
                <w:lang w:val="en-US" w:eastAsia="zh-CN"/>
              </w:rPr>
              <w:t>20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处瑕疵，得</w:t>
            </w:r>
            <w:r>
              <w:rPr>
                <w:rFonts w:hint="eastAsia" w:ascii="方正仿宋_GBK" w:hAnsi="仿宋" w:eastAsia="仿宋" w:cs="仿宋"/>
                <w:color w:val="auto"/>
                <w:kern w:val="0"/>
                <w:szCs w:val="28"/>
                <w:highlight w:val="none"/>
                <w:lang w:val="en-US" w:eastAsia="zh-CN"/>
              </w:rPr>
              <w:t>15</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w:t>
            </w:r>
            <w:r>
              <w:rPr>
                <w:rFonts w:hint="eastAsia" w:ascii="方正仿宋_GBK" w:hAnsi="仿宋" w:eastAsia="仿宋" w:cs="仿宋"/>
                <w:color w:val="auto"/>
                <w:kern w:val="0"/>
                <w:szCs w:val="28"/>
                <w:highlight w:val="none"/>
                <w:lang w:val="en-US" w:eastAsia="zh-CN"/>
              </w:rPr>
              <w:t>4</w:t>
            </w:r>
            <w:r>
              <w:rPr>
                <w:rFonts w:hint="eastAsia" w:ascii="方正仿宋_GBK" w:hAnsi="仿宋" w:eastAsia="仿宋" w:cs="仿宋"/>
                <w:color w:val="auto"/>
                <w:kern w:val="0"/>
                <w:szCs w:val="28"/>
                <w:highlight w:val="none"/>
              </w:rPr>
              <w:t>处瑕疵，得</w:t>
            </w:r>
            <w:r>
              <w:rPr>
                <w:rFonts w:hint="eastAsia" w:ascii="方正仿宋_GBK" w:hAnsi="仿宋" w:eastAsia="仿宋" w:cs="仿宋"/>
                <w:color w:val="auto"/>
                <w:kern w:val="0"/>
                <w:szCs w:val="28"/>
                <w:highlight w:val="none"/>
                <w:lang w:val="en-US" w:eastAsia="zh-CN"/>
              </w:rPr>
              <w:t>10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w:t>
            </w:r>
            <w:r>
              <w:rPr>
                <w:rFonts w:hint="eastAsia" w:ascii="方正仿宋_GBK" w:hAnsi="仿宋" w:eastAsia="仿宋" w:cs="仿宋"/>
                <w:color w:val="auto"/>
                <w:kern w:val="0"/>
                <w:szCs w:val="28"/>
                <w:highlight w:val="none"/>
                <w:lang w:val="en-US" w:eastAsia="zh-CN"/>
              </w:rPr>
              <w:t>5</w:t>
            </w:r>
            <w:r>
              <w:rPr>
                <w:rFonts w:hint="eastAsia" w:ascii="方正仿宋_GBK" w:hAnsi="仿宋" w:eastAsia="仿宋" w:cs="仿宋"/>
                <w:color w:val="auto"/>
                <w:kern w:val="0"/>
                <w:szCs w:val="28"/>
                <w:highlight w:val="none"/>
              </w:rPr>
              <w:t>处瑕疵，得</w:t>
            </w:r>
            <w:r>
              <w:rPr>
                <w:rFonts w:hint="eastAsia" w:ascii="方正仿宋_GBK" w:hAnsi="仿宋" w:eastAsia="仿宋" w:cs="仿宋"/>
                <w:color w:val="auto"/>
                <w:kern w:val="0"/>
                <w:szCs w:val="28"/>
                <w:highlight w:val="none"/>
                <w:lang w:val="en-US" w:eastAsia="zh-CN"/>
              </w:rPr>
              <w:t>5</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eastAsia="zh-CN"/>
              </w:rPr>
              <w:t>此处</w:t>
            </w:r>
            <w:r>
              <w:rPr>
                <w:rFonts w:hint="eastAsia" w:ascii="方正仿宋_GBK" w:hAnsi="仿宋" w:eastAsia="仿宋" w:cs="仿宋"/>
                <w:color w:val="auto"/>
                <w:kern w:val="0"/>
                <w:szCs w:val="28"/>
                <w:highlight w:val="none"/>
              </w:rPr>
              <w:t>存在</w:t>
            </w:r>
            <w:r>
              <w:rPr>
                <w:rFonts w:hint="eastAsia" w:ascii="方正仿宋_GBK" w:hAnsi="仿宋" w:eastAsia="仿宋" w:cs="仿宋"/>
                <w:color w:val="auto"/>
                <w:kern w:val="0"/>
                <w:szCs w:val="28"/>
                <w:highlight w:val="none"/>
                <w:lang w:val="en-US" w:eastAsia="zh-CN"/>
              </w:rPr>
              <w:t>6</w:t>
            </w:r>
            <w:r>
              <w:rPr>
                <w:rFonts w:hint="eastAsia" w:ascii="方正仿宋_GBK" w:hAnsi="仿宋" w:eastAsia="仿宋" w:cs="仿宋"/>
                <w:color w:val="auto"/>
                <w:kern w:val="0"/>
                <w:szCs w:val="28"/>
                <w:highlight w:val="none"/>
              </w:rPr>
              <w:t>处瑕疵，得0分</w:t>
            </w:r>
            <w:r>
              <w:rPr>
                <w:rFonts w:hint="eastAsia" w:ascii="方正仿宋_GBK" w:hAnsi="仿宋" w:eastAsia="仿宋" w:cs="仿宋"/>
                <w:color w:val="auto"/>
                <w:kern w:val="0"/>
                <w:szCs w:val="28"/>
                <w:highlight w:val="none"/>
                <w:lang w:eastAsia="zh-CN"/>
              </w:rPr>
              <w:t>。</w:t>
            </w:r>
          </w:p>
        </w:tc>
        <w:tc>
          <w:tcPr>
            <w:tcW w:w="2575" w:type="dxa"/>
            <w:noWrap w:val="0"/>
            <w:vAlign w:val="center"/>
          </w:tcPr>
          <w:p>
            <w:pPr>
              <w:keepNext w:val="0"/>
              <w:keepLines w:val="0"/>
              <w:suppressLineNumbers w:val="0"/>
              <w:spacing w:before="0" w:beforeAutospacing="0" w:after="0" w:afterAutospacing="0" w:line="520" w:lineRule="exact"/>
              <w:ind w:left="0" w:right="0"/>
              <w:jc w:val="left"/>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1.竞选人自备U盘准备PPT进行演示。</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2.本项内容中所称的“瑕疵”指以下任意一种情形：</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(1) 汇报超出6分钟规定时长；</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(2) 汇报持续性口齿含糊、频繁卡顿、大量重复、口头禅过多或语速失控，严重影响信息理解；单次口误不计瑕疵；</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(3) 必讲模块缺少内容、关键要点遗漏、PPT/口头介绍信息错误；模块仅有标题，无实质措施方案；</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(4) 内容逻辑混乱，保障、处置措施空洞、无落地细则；</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(5) 应答评审提问时答非所问、表述含糊、答案与PPT不符、关键问题回答错误。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2</w:t>
            </w:r>
          </w:p>
        </w:tc>
        <w:tc>
          <w:tcPr>
            <w:tcW w:w="1590" w:type="dxa"/>
            <w:noWrap w:val="0"/>
            <w:vAlign w:val="center"/>
          </w:tcPr>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eastAsia="zh-CN"/>
              </w:rPr>
              <w:t>技术部分（</w:t>
            </w:r>
            <w:r>
              <w:rPr>
                <w:rFonts w:hint="eastAsia" w:ascii="方正仿宋_GBK" w:hAnsi="仿宋" w:eastAsia="仿宋" w:cs="仿宋"/>
                <w:color w:val="auto"/>
                <w:kern w:val="0"/>
                <w:szCs w:val="28"/>
                <w:highlight w:val="none"/>
                <w:lang w:val="en-US" w:eastAsia="zh-CN"/>
              </w:rPr>
              <w:t>50分）</w:t>
            </w: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50</w:t>
            </w:r>
          </w:p>
        </w:tc>
        <w:tc>
          <w:tcPr>
            <w:tcW w:w="376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eastAsia="zh-CN"/>
              </w:rPr>
            </w:pPr>
            <w:r>
              <w:rPr>
                <w:rFonts w:hint="eastAsia" w:ascii="方正仿宋_GBK" w:hAnsi="仿宋" w:eastAsia="仿宋" w:cs="仿宋"/>
                <w:color w:val="auto"/>
                <w:kern w:val="0"/>
                <w:szCs w:val="28"/>
                <w:highlight w:val="none"/>
                <w:lang w:val="en-US" w:eastAsia="zh-CN"/>
              </w:rPr>
              <w:t>1.</w:t>
            </w:r>
            <w:r>
              <w:rPr>
                <w:rFonts w:hint="eastAsia" w:ascii="方正仿宋_GBK" w:hAnsi="仿宋" w:eastAsia="仿宋" w:cs="仿宋"/>
                <w:color w:val="auto"/>
                <w:kern w:val="0"/>
                <w:szCs w:val="28"/>
                <w:highlight w:val="none"/>
                <w:lang w:eastAsia="zh-CN"/>
              </w:rPr>
              <w:t>竞选人需提供与本项目服务需求相适应的服务方案，方案需涵盖以下内容：</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eastAsia="zh-CN"/>
              </w:rPr>
            </w:pPr>
            <w:r>
              <w:rPr>
                <w:rFonts w:hint="eastAsia" w:ascii="方正仿宋_GBK" w:hAnsi="仿宋" w:eastAsia="仿宋" w:cs="仿宋"/>
                <w:color w:val="auto"/>
                <w:kern w:val="0"/>
                <w:szCs w:val="28"/>
                <w:highlight w:val="none"/>
                <w:lang w:eastAsia="zh-CN"/>
              </w:rPr>
              <w:t>运行的整体思路，组织架构，人员安排，团队管理等内容，根据内容进行评分。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内容不存在瑕疵，得1</w:t>
            </w:r>
            <w:r>
              <w:rPr>
                <w:rFonts w:hint="eastAsia" w:ascii="方正仿宋_GBK" w:hAnsi="仿宋" w:eastAsia="仿宋" w:cs="仿宋"/>
                <w:color w:val="auto"/>
                <w:kern w:val="0"/>
                <w:szCs w:val="28"/>
                <w:highlight w:val="none"/>
                <w:lang w:val="en-US" w:eastAsia="zh-CN"/>
              </w:rPr>
              <w:t>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内容存在1处瑕疵，得</w:t>
            </w:r>
            <w:r>
              <w:rPr>
                <w:rFonts w:hint="eastAsia" w:ascii="方正仿宋_GBK" w:hAnsi="仿宋" w:eastAsia="仿宋" w:cs="仿宋"/>
                <w:color w:val="auto"/>
                <w:kern w:val="0"/>
                <w:szCs w:val="28"/>
                <w:highlight w:val="none"/>
                <w:lang w:eastAsia="zh-CN"/>
              </w:rPr>
              <w:t>8</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内容存在2处瑕疵，得</w:t>
            </w:r>
            <w:r>
              <w:rPr>
                <w:rFonts w:hint="eastAsia" w:ascii="方正仿宋_GBK" w:hAnsi="仿宋" w:eastAsia="仿宋" w:cs="仿宋"/>
                <w:color w:val="auto"/>
                <w:kern w:val="0"/>
                <w:szCs w:val="28"/>
                <w:highlight w:val="none"/>
                <w:lang w:eastAsia="zh-CN"/>
              </w:rPr>
              <w:t>6</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内容存在3处瑕疵，得</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内容存在4处及以上瑕疵或未提供方案，得0分。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2.提供人员培训，权益保障方案及措施等内容，根据内容进行评分。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内容不存在瑕疵，得1</w:t>
            </w:r>
            <w:r>
              <w:rPr>
                <w:rFonts w:hint="eastAsia" w:ascii="方正仿宋_GBK" w:hAnsi="仿宋" w:eastAsia="仿宋" w:cs="仿宋"/>
                <w:color w:val="auto"/>
                <w:kern w:val="0"/>
                <w:szCs w:val="28"/>
                <w:highlight w:val="none"/>
                <w:lang w:val="en-US" w:eastAsia="zh-CN"/>
              </w:rPr>
              <w:t>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内容存在1处瑕疵，得</w:t>
            </w:r>
            <w:r>
              <w:rPr>
                <w:rFonts w:hint="eastAsia" w:ascii="方正仿宋_GBK" w:hAnsi="仿宋" w:eastAsia="仿宋" w:cs="仿宋"/>
                <w:color w:val="auto"/>
                <w:kern w:val="0"/>
                <w:szCs w:val="28"/>
                <w:highlight w:val="none"/>
                <w:lang w:eastAsia="zh-CN"/>
              </w:rPr>
              <w:t>8</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内容存在2处瑕疵，得</w:t>
            </w:r>
            <w:r>
              <w:rPr>
                <w:rFonts w:hint="eastAsia" w:ascii="方正仿宋_GBK" w:hAnsi="仿宋" w:eastAsia="仿宋" w:cs="仿宋"/>
                <w:color w:val="auto"/>
                <w:kern w:val="0"/>
                <w:szCs w:val="28"/>
                <w:highlight w:val="none"/>
                <w:lang w:eastAsia="zh-CN"/>
              </w:rPr>
              <w:t>6</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内容存在3处瑕疵，得</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内容存在4处及以上瑕疵或未提供方案，得0分。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提供质量及安全保障措施等内容，根据内容进行评分。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内容不存在瑕疵，得1</w:t>
            </w:r>
            <w:r>
              <w:rPr>
                <w:rFonts w:hint="eastAsia" w:ascii="方正仿宋_GBK" w:hAnsi="仿宋" w:eastAsia="仿宋" w:cs="仿宋"/>
                <w:color w:val="auto"/>
                <w:kern w:val="0"/>
                <w:szCs w:val="28"/>
                <w:highlight w:val="none"/>
                <w:lang w:val="en-US" w:eastAsia="zh-CN"/>
              </w:rPr>
              <w:t>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内容存在1处瑕疵，得</w:t>
            </w:r>
            <w:r>
              <w:rPr>
                <w:rFonts w:hint="eastAsia" w:ascii="方正仿宋_GBK" w:hAnsi="仿宋" w:eastAsia="仿宋" w:cs="仿宋"/>
                <w:color w:val="auto"/>
                <w:kern w:val="0"/>
                <w:szCs w:val="28"/>
                <w:highlight w:val="none"/>
                <w:lang w:eastAsia="zh-CN"/>
              </w:rPr>
              <w:t>8</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内容存在2处瑕疵，得</w:t>
            </w:r>
            <w:r>
              <w:rPr>
                <w:rFonts w:hint="eastAsia" w:ascii="方正仿宋_GBK" w:hAnsi="仿宋" w:eastAsia="仿宋" w:cs="仿宋"/>
                <w:color w:val="auto"/>
                <w:kern w:val="0"/>
                <w:szCs w:val="28"/>
                <w:highlight w:val="none"/>
                <w:lang w:eastAsia="zh-CN"/>
              </w:rPr>
              <w:t>6</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内容存在3处瑕疵，得</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内容存在4处及以上瑕疵或未提供方案，得0分。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val="en-US" w:eastAsia="zh-CN"/>
              </w:rPr>
              <w:t>4.</w:t>
            </w:r>
            <w:r>
              <w:rPr>
                <w:rFonts w:hint="eastAsia" w:ascii="方正仿宋_GBK" w:hAnsi="仿宋" w:eastAsia="仿宋" w:cs="仿宋"/>
                <w:color w:val="auto"/>
                <w:kern w:val="0"/>
                <w:szCs w:val="28"/>
                <w:highlight w:val="none"/>
              </w:rPr>
              <w:t>提供监督及考核机制等内容，根据内容进行评分。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内容不存在瑕疵，得1</w:t>
            </w:r>
            <w:r>
              <w:rPr>
                <w:rFonts w:hint="eastAsia" w:ascii="方正仿宋_GBK" w:hAnsi="仿宋" w:eastAsia="仿宋" w:cs="仿宋"/>
                <w:color w:val="auto"/>
                <w:kern w:val="0"/>
                <w:szCs w:val="28"/>
                <w:highlight w:val="none"/>
                <w:lang w:val="en-US" w:eastAsia="zh-CN"/>
              </w:rPr>
              <w:t>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内容存在1处瑕疵，得</w:t>
            </w:r>
            <w:r>
              <w:rPr>
                <w:rFonts w:hint="eastAsia" w:ascii="方正仿宋_GBK" w:hAnsi="仿宋" w:eastAsia="仿宋" w:cs="仿宋"/>
                <w:color w:val="auto"/>
                <w:kern w:val="0"/>
                <w:szCs w:val="28"/>
                <w:highlight w:val="none"/>
                <w:lang w:eastAsia="zh-CN"/>
              </w:rPr>
              <w:t>8</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内容存在2处瑕疵，得</w:t>
            </w:r>
            <w:r>
              <w:rPr>
                <w:rFonts w:hint="eastAsia" w:ascii="方正仿宋_GBK" w:hAnsi="仿宋" w:eastAsia="仿宋" w:cs="仿宋"/>
                <w:color w:val="auto"/>
                <w:kern w:val="0"/>
                <w:szCs w:val="28"/>
                <w:highlight w:val="none"/>
                <w:lang w:eastAsia="zh-CN"/>
              </w:rPr>
              <w:t>6</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内容存在3处瑕疵，得</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内容存在4处及以上瑕疵或未提供方案，得0分。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5.提供应急预案及处置措施等内容，根据内容进行评分。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内容不存在瑕疵，得1</w:t>
            </w:r>
            <w:r>
              <w:rPr>
                <w:rFonts w:hint="eastAsia" w:ascii="方正仿宋_GBK" w:hAnsi="仿宋" w:eastAsia="仿宋" w:cs="仿宋"/>
                <w:color w:val="auto"/>
                <w:kern w:val="0"/>
                <w:szCs w:val="28"/>
                <w:highlight w:val="none"/>
                <w:lang w:val="en-US" w:eastAsia="zh-CN"/>
              </w:rPr>
              <w:t>0</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内容存在1处瑕疵，得</w:t>
            </w:r>
            <w:r>
              <w:rPr>
                <w:rFonts w:hint="eastAsia" w:ascii="方正仿宋_GBK" w:hAnsi="仿宋" w:eastAsia="仿宋" w:cs="仿宋"/>
                <w:color w:val="auto"/>
                <w:kern w:val="0"/>
                <w:szCs w:val="28"/>
                <w:highlight w:val="none"/>
                <w:lang w:eastAsia="zh-CN"/>
              </w:rPr>
              <w:t>8</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内容存在2处瑕疵，得</w:t>
            </w:r>
            <w:r>
              <w:rPr>
                <w:rFonts w:hint="eastAsia" w:ascii="方正仿宋_GBK" w:hAnsi="仿宋" w:eastAsia="仿宋" w:cs="仿宋"/>
                <w:color w:val="auto"/>
                <w:kern w:val="0"/>
                <w:szCs w:val="28"/>
                <w:highlight w:val="none"/>
                <w:lang w:eastAsia="zh-CN"/>
              </w:rPr>
              <w:t>6</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内容存在3处瑕疵，得</w:t>
            </w:r>
            <w:r>
              <w:rPr>
                <w:rFonts w:hint="eastAsia" w:ascii="方正仿宋_GBK" w:hAnsi="仿宋" w:eastAsia="仿宋" w:cs="仿宋"/>
                <w:color w:val="auto"/>
                <w:kern w:val="0"/>
                <w:szCs w:val="28"/>
                <w:highlight w:val="none"/>
                <w:lang w:val="en-US" w:eastAsia="zh-CN"/>
              </w:rPr>
              <w:t>3</w:t>
            </w:r>
            <w:r>
              <w:rPr>
                <w:rFonts w:hint="eastAsia" w:ascii="方正仿宋_GBK" w:hAnsi="仿宋" w:eastAsia="仿宋" w:cs="仿宋"/>
                <w:color w:val="auto"/>
                <w:kern w:val="0"/>
                <w:szCs w:val="28"/>
                <w:highlight w:val="none"/>
              </w:rPr>
              <w:t>分；</w:t>
            </w:r>
          </w:p>
          <w:p>
            <w:pPr>
              <w:keepNext w:val="0"/>
              <w:keepLines w:val="0"/>
              <w:suppressLineNumbers w:val="0"/>
              <w:spacing w:before="0" w:beforeAutospacing="0" w:after="0" w:afterAutospacing="0" w:line="520" w:lineRule="exact"/>
              <w:ind w:left="0" w:right="0"/>
              <w:jc w:val="left"/>
              <w:rPr>
                <w:rFonts w:hint="default"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内容存在4处及以上瑕疵或未提供方案，得0分。</w:t>
            </w:r>
          </w:p>
        </w:tc>
        <w:tc>
          <w:tcPr>
            <w:tcW w:w="257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val="en-US" w:eastAsia="zh-CN"/>
              </w:rPr>
              <w:t>1.</w:t>
            </w:r>
            <w:r>
              <w:rPr>
                <w:rFonts w:hint="eastAsia" w:ascii="方正仿宋_GBK" w:hAnsi="仿宋" w:eastAsia="仿宋" w:cs="仿宋"/>
                <w:color w:val="auto"/>
                <w:kern w:val="0"/>
                <w:szCs w:val="28"/>
                <w:highlight w:val="none"/>
              </w:rPr>
              <w:t>本项内容中所称的“瑕疵”指以下任意一种情形：</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方案内容缺项；</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内容表述不完整或缺少关键分析点；</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方案内容表述前后矛盾、无连贯性；</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内容存在逻辑漏洞、常识错误、服务措施保障安排并不适用本项目特性或非专门针对本项目制定；</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方案中提出的措施举措不利于本项目目标的实现、现有技术条件下不可能出现的情形</w:t>
            </w:r>
            <w:r>
              <w:rPr>
                <w:rFonts w:hint="eastAsia" w:ascii="方正仿宋_GBK" w:hAnsi="仿宋" w:eastAsia="仿宋" w:cs="仿宋"/>
                <w:color w:val="auto"/>
                <w:kern w:val="0"/>
                <w:szCs w:val="28"/>
                <w:highlight w:val="none"/>
                <w:lang w:eastAsia="zh-CN"/>
              </w:rPr>
              <w:t>；</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rPr>
              <w:t>说明:方案由评选委员会成员结合自身专业知识根据以上标准独立评审。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3</w:t>
            </w:r>
          </w:p>
        </w:tc>
        <w:tc>
          <w:tcPr>
            <w:tcW w:w="1590" w:type="dxa"/>
            <w:vMerge w:val="restart"/>
            <w:noWrap w:val="0"/>
            <w:vAlign w:val="center"/>
          </w:tcPr>
          <w:p>
            <w:pPr>
              <w:keepNext w:val="0"/>
              <w:keepLines w:val="0"/>
              <w:suppressLineNumbers w:val="0"/>
              <w:spacing w:before="0" w:beforeAutospacing="0" w:after="0" w:afterAutospacing="0" w:line="520" w:lineRule="exact"/>
              <w:ind w:left="0" w:right="0" w:firstLine="438" w:firstLineChars="200"/>
              <w:jc w:val="left"/>
              <w:rPr>
                <w:rFonts w:hint="eastAsia" w:ascii="方正仿宋_GBK" w:hAnsi="仿宋" w:eastAsia="仿宋" w:cs="仿宋"/>
                <w:color w:val="auto"/>
                <w:kern w:val="0"/>
                <w:szCs w:val="28"/>
                <w:highlight w:val="none"/>
              </w:rPr>
            </w:pPr>
          </w:p>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rPr>
            </w:pPr>
            <w:r>
              <w:rPr>
                <w:rFonts w:hint="eastAsia" w:ascii="方正仿宋_GBK" w:hAnsi="仿宋" w:eastAsia="仿宋" w:cs="仿宋"/>
                <w:color w:val="auto"/>
                <w:kern w:val="0"/>
                <w:szCs w:val="28"/>
                <w:highlight w:val="none"/>
                <w:lang w:val="en-US" w:eastAsia="zh-CN"/>
              </w:rPr>
              <w:t>商务部分（20分）</w:t>
            </w:r>
          </w:p>
          <w:p>
            <w:pPr>
              <w:keepNext w:val="0"/>
              <w:keepLines w:val="0"/>
              <w:suppressLineNumbers w:val="0"/>
              <w:spacing w:before="0" w:beforeAutospacing="0" w:after="0" w:afterAutospacing="0" w:line="520" w:lineRule="exact"/>
              <w:ind w:left="0" w:right="0" w:firstLine="438" w:firstLineChars="200"/>
              <w:jc w:val="left"/>
              <w:rPr>
                <w:rFonts w:hint="eastAsia" w:ascii="方正仿宋_GBK" w:hAnsi="仿宋" w:eastAsia="仿宋" w:cs="仿宋"/>
                <w:color w:val="auto"/>
                <w:kern w:val="0"/>
                <w:szCs w:val="28"/>
                <w:highlight w:val="none"/>
                <w:lang w:val="en-US" w:eastAsia="zh-CN"/>
              </w:rPr>
            </w:pP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9</w:t>
            </w:r>
          </w:p>
        </w:tc>
        <w:tc>
          <w:tcPr>
            <w:tcW w:w="376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具有有效的质量管理体系（ISO9001或GB/T19001）、职业健康安全管理体系、环境管理体系认证文件的，每提供1个得3分，最多得9分。</w:t>
            </w:r>
          </w:p>
        </w:tc>
        <w:tc>
          <w:tcPr>
            <w:tcW w:w="257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提供证书复印件并加盖竞选人公章。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4</w:t>
            </w:r>
          </w:p>
        </w:tc>
        <w:tc>
          <w:tcPr>
            <w:tcW w:w="1590" w:type="dxa"/>
            <w:vMerge w:val="continue"/>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default"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2</w:t>
            </w:r>
          </w:p>
        </w:tc>
        <w:tc>
          <w:tcPr>
            <w:tcW w:w="376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管理人员同时满足：有本科及以上学历，工作3年及以上（有在医院工作的经历≧2年），每提供1个得1分，最多得2分。</w:t>
            </w:r>
          </w:p>
          <w:p>
            <w:pPr>
              <w:keepNext w:val="0"/>
              <w:keepLines w:val="0"/>
              <w:suppressLineNumbers w:val="0"/>
              <w:spacing w:before="0" w:beforeAutospacing="0" w:after="0" w:afterAutospacing="0" w:line="520" w:lineRule="exact"/>
              <w:ind w:left="0" w:right="0" w:firstLine="438" w:firstLineChars="200"/>
              <w:jc w:val="left"/>
              <w:rPr>
                <w:rFonts w:hint="eastAsia" w:ascii="方正仿宋_GBK" w:hAnsi="仿宋" w:eastAsia="仿宋" w:cs="仿宋"/>
                <w:color w:val="auto"/>
                <w:kern w:val="0"/>
                <w:szCs w:val="28"/>
                <w:highlight w:val="none"/>
                <w:lang w:val="en-US" w:eastAsia="zh-CN"/>
              </w:rPr>
            </w:pPr>
          </w:p>
        </w:tc>
        <w:tc>
          <w:tcPr>
            <w:tcW w:w="257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提供学历证书及合同，加盖竞选人公章；一人仅计分一次，不可重复计分；实习不计入医院工作年限。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424"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5</w:t>
            </w:r>
          </w:p>
        </w:tc>
        <w:tc>
          <w:tcPr>
            <w:tcW w:w="1590" w:type="dxa"/>
            <w:vMerge w:val="continue"/>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p>
        </w:tc>
        <w:tc>
          <w:tcPr>
            <w:tcW w:w="915" w:type="dxa"/>
            <w:noWrap w:val="0"/>
            <w:vAlign w:val="center"/>
          </w:tcPr>
          <w:p>
            <w:pPr>
              <w:keepNext w:val="0"/>
              <w:keepLines w:val="0"/>
              <w:suppressLineNumbers w:val="0"/>
              <w:spacing w:before="0" w:beforeAutospacing="0" w:after="0" w:afterAutospacing="0" w:line="520" w:lineRule="exact"/>
              <w:ind w:left="0" w:right="0"/>
              <w:jc w:val="center"/>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9</w:t>
            </w:r>
          </w:p>
        </w:tc>
        <w:tc>
          <w:tcPr>
            <w:tcW w:w="376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1.竞选人提供2022年1月1日至今，有为三甲医院提供护工及护理员服务业绩，提供1个得3分。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2.竞选人提供2022年1月1日至今，有为二甲医院提供护工及护理员服务业绩提供1个得2分。</w:t>
            </w:r>
          </w:p>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（注：本项最多得9分，同一医院合同不可重复计分）</w:t>
            </w:r>
          </w:p>
        </w:tc>
        <w:tc>
          <w:tcPr>
            <w:tcW w:w="2575" w:type="dxa"/>
            <w:noWrap w:val="0"/>
            <w:vAlign w:val="center"/>
          </w:tcPr>
          <w:p>
            <w:pPr>
              <w:keepNext w:val="0"/>
              <w:keepLines w:val="0"/>
              <w:suppressLineNumbers w:val="0"/>
              <w:spacing w:before="0" w:beforeAutospacing="0" w:after="0" w:afterAutospacing="0" w:line="520" w:lineRule="exact"/>
              <w:ind w:left="0" w:right="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提供合同复印件并加盖竞选人公章。</w:t>
            </w:r>
          </w:p>
        </w:tc>
      </w:tr>
    </w:tbl>
    <w:p>
      <w:pPr>
        <w:spacing w:line="520" w:lineRule="exact"/>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备注：1.竞选人凡提供虚假证明者一经查实，立即取消中标资格。</w:t>
      </w:r>
    </w:p>
    <w:p>
      <w:pPr>
        <w:spacing w:line="520" w:lineRule="exact"/>
        <w:ind w:firstLine="657" w:firstLineChars="3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lang w:val="en-US" w:eastAsia="zh-CN"/>
        </w:rPr>
        <w:t>2.竞选人在投标文件内提出的方案无法落实的，立即取消中标资格</w:t>
      </w:r>
    </w:p>
    <w:p>
      <w:pPr>
        <w:spacing w:before="156" w:after="156" w:line="520" w:lineRule="exact"/>
        <w:ind w:firstLine="438" w:firstLineChars="200"/>
        <w:jc w:val="left"/>
        <w:outlineLvl w:val="1"/>
        <w:rPr>
          <w:rFonts w:eastAsia="仿宋" w:cs="宋体"/>
          <w:b/>
          <w:bCs/>
          <w:color w:val="auto"/>
          <w:szCs w:val="28"/>
          <w:highlight w:val="none"/>
        </w:rPr>
      </w:pPr>
      <w:r>
        <w:rPr>
          <w:rFonts w:hint="eastAsia" w:eastAsia="仿宋" w:cs="宋体"/>
          <w:b/>
          <w:bCs/>
          <w:color w:val="auto"/>
          <w:szCs w:val="28"/>
          <w:highlight w:val="none"/>
        </w:rPr>
        <w:t>三、无效响应</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spacing w:line="520" w:lineRule="exact"/>
        <w:ind w:firstLine="438" w:firstLineChars="200"/>
        <w:jc w:val="left"/>
        <w:rPr>
          <w:rFonts w:ascii="方正仿宋_GBK" w:hAnsi="仿宋" w:eastAsia="仿宋" w:cs="仿宋"/>
          <w:color w:val="auto"/>
          <w:kern w:val="0"/>
          <w:szCs w:val="28"/>
          <w:highlight w:val="none"/>
        </w:rPr>
      </w:pPr>
      <w:bookmarkStart w:id="428" w:name="_Toc493506302"/>
      <w:bookmarkStart w:id="429" w:name="_Toc495592658"/>
      <w:bookmarkStart w:id="430" w:name="_Toc492721019"/>
      <w:r>
        <w:rPr>
          <w:rFonts w:hint="eastAsia" w:ascii="方正仿宋_GBK" w:hAnsi="仿宋" w:eastAsia="仿宋" w:cs="仿宋"/>
          <w:color w:val="auto"/>
          <w:kern w:val="0"/>
          <w:szCs w:val="28"/>
          <w:highlight w:val="none"/>
        </w:rPr>
        <w:t>供应商发生以下条款情况之一者，为无效响应，其响应文件将被拒绝：</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（一）供应商不符合规定的资格条件的；</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（二）供应商的法定代表人（或其授权代表）或自然人未参加</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bookmarkStart w:id="431" w:name="_Hlk84856470"/>
      <w:r>
        <w:rPr>
          <w:rFonts w:hint="eastAsia" w:ascii="方正仿宋_GBK" w:hAnsi="仿宋" w:eastAsia="仿宋" w:cs="仿宋"/>
          <w:color w:val="auto"/>
          <w:kern w:val="0"/>
          <w:szCs w:val="28"/>
          <w:highlight w:val="none"/>
        </w:rPr>
        <w:t>供应商所提交的响应文件</w:t>
      </w:r>
      <w:bookmarkEnd w:id="431"/>
      <w:r>
        <w:rPr>
          <w:rFonts w:hint="eastAsia" w:ascii="方正仿宋_GBK" w:hAnsi="仿宋" w:eastAsia="仿宋" w:cs="仿宋"/>
          <w:color w:val="auto"/>
          <w:kern w:val="0"/>
          <w:szCs w:val="28"/>
          <w:highlight w:val="none"/>
        </w:rPr>
        <w:t>不按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文件规定签字、盖章；</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四</w:t>
      </w:r>
      <w:r>
        <w:rPr>
          <w:rFonts w:hint="eastAsia" w:ascii="方正仿宋_GBK" w:hAnsi="仿宋" w:eastAsia="仿宋" w:cs="仿宋"/>
          <w:color w:val="auto"/>
          <w:kern w:val="0"/>
          <w:szCs w:val="28"/>
          <w:highlight w:val="none"/>
        </w:rPr>
        <w:t>）</w:t>
      </w:r>
      <w:bookmarkStart w:id="432" w:name="_Hlk84856597"/>
      <w:r>
        <w:rPr>
          <w:rFonts w:hint="eastAsia" w:ascii="方正仿宋_GBK" w:hAnsi="仿宋" w:eastAsia="仿宋" w:cs="仿宋"/>
          <w:color w:val="auto"/>
          <w:kern w:val="0"/>
          <w:szCs w:val="28"/>
          <w:highlight w:val="none"/>
        </w:rPr>
        <w:t>单位负责人为同一人或者存在直接控股、管理关系的不同供应商，参加同一合同项下的政府采购活动的；</w:t>
      </w:r>
      <w:bookmarkEnd w:id="432"/>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五</w:t>
      </w:r>
      <w:r>
        <w:rPr>
          <w:rFonts w:hint="eastAsia" w:ascii="方正仿宋_GBK" w:hAnsi="仿宋" w:eastAsia="仿宋" w:cs="仿宋"/>
          <w:color w:val="auto"/>
          <w:kern w:val="0"/>
          <w:szCs w:val="28"/>
          <w:highlight w:val="none"/>
        </w:rPr>
        <w:t>）为采购项目提供整体设计、规范编制或者项目管理、监理、检测等服务的供应商，再参加该采购项目的其他采购活动；</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）供应商</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有效期不满足</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文件要求的；</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七</w:t>
      </w:r>
      <w:r>
        <w:rPr>
          <w:rFonts w:hint="eastAsia" w:ascii="方正仿宋_GBK" w:hAnsi="仿宋" w:eastAsia="仿宋" w:cs="仿宋"/>
          <w:color w:val="auto"/>
          <w:kern w:val="0"/>
          <w:szCs w:val="28"/>
          <w:highlight w:val="none"/>
        </w:rPr>
        <w:t>）供应商组成联合体响应的（</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文件载明不接受联合体时适用）；</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八</w:t>
      </w:r>
      <w:r>
        <w:rPr>
          <w:rFonts w:hint="eastAsia" w:ascii="方正仿宋_GBK" w:hAnsi="仿宋" w:eastAsia="仿宋" w:cs="仿宋"/>
          <w:color w:val="auto"/>
          <w:kern w:val="0"/>
          <w:szCs w:val="28"/>
          <w:highlight w:val="none"/>
        </w:rPr>
        <w:t>）供应商响应文件内容有与国家现行法律法规相违背的内容，或附有采购人无法接受的条件。</w:t>
      </w:r>
    </w:p>
    <w:p>
      <w:pPr>
        <w:snapToGrid w:val="0"/>
        <w:spacing w:line="400" w:lineRule="exact"/>
        <w:ind w:firstLine="465"/>
        <w:rPr>
          <w:rFonts w:ascii="方正仿宋_GBK" w:hAnsi="宋体"/>
          <w:color w:val="auto"/>
          <w:szCs w:val="24"/>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九</w:t>
      </w:r>
      <w:r>
        <w:rPr>
          <w:rFonts w:hint="eastAsia" w:ascii="方正仿宋_GBK" w:hAnsi="仿宋" w:eastAsia="仿宋" w:cs="仿宋"/>
          <w:color w:val="auto"/>
          <w:kern w:val="0"/>
          <w:szCs w:val="28"/>
          <w:highlight w:val="none"/>
        </w:rPr>
        <w:t>）法律、法规和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文件规定的其他无效情形。</w:t>
      </w:r>
    </w:p>
    <w:p>
      <w:pPr>
        <w:spacing w:before="156" w:after="156" w:line="520" w:lineRule="exact"/>
        <w:ind w:firstLine="438" w:firstLineChars="200"/>
        <w:jc w:val="left"/>
        <w:outlineLvl w:val="1"/>
        <w:rPr>
          <w:rFonts w:eastAsia="仿宋" w:cs="宋体"/>
          <w:b/>
          <w:bCs/>
          <w:color w:val="auto"/>
          <w:szCs w:val="28"/>
          <w:highlight w:val="none"/>
        </w:rPr>
      </w:pPr>
      <w:bookmarkStart w:id="433" w:name="_Toc17719"/>
      <w:bookmarkStart w:id="434" w:name="_Toc938"/>
      <w:bookmarkStart w:id="435" w:name="_Toc26852"/>
      <w:bookmarkStart w:id="436" w:name="_Toc8228"/>
      <w:bookmarkStart w:id="437" w:name="_Toc8728"/>
      <w:bookmarkStart w:id="438" w:name="_Toc28569"/>
      <w:bookmarkStart w:id="439" w:name="_Toc28559"/>
      <w:bookmarkStart w:id="440" w:name="_Toc18935"/>
      <w:bookmarkStart w:id="441" w:name="_Toc7367"/>
      <w:bookmarkStart w:id="442" w:name="_Toc11565"/>
      <w:bookmarkStart w:id="443" w:name="_Toc15957"/>
      <w:bookmarkStart w:id="444" w:name="_Toc11445"/>
      <w:bookmarkStart w:id="445" w:name="_Toc21144"/>
      <w:bookmarkStart w:id="446" w:name="_Toc7917"/>
      <w:bookmarkStart w:id="447" w:name="_Toc65512154"/>
      <w:bookmarkStart w:id="448" w:name="_Toc26329"/>
      <w:bookmarkStart w:id="449" w:name="_Toc9753"/>
      <w:bookmarkStart w:id="450" w:name="_Toc10520"/>
      <w:bookmarkStart w:id="451" w:name="_Toc3785"/>
      <w:bookmarkStart w:id="452" w:name="_Toc16889"/>
      <w:bookmarkStart w:id="453" w:name="_Toc1197"/>
      <w:bookmarkStart w:id="454" w:name="_Toc17334"/>
      <w:bookmarkStart w:id="455" w:name="_Toc48837319"/>
      <w:bookmarkStart w:id="456" w:name="_Toc11451"/>
      <w:bookmarkStart w:id="457" w:name="_Toc29713"/>
      <w:bookmarkStart w:id="458" w:name="_Toc2147"/>
      <w:bookmarkStart w:id="459" w:name="_Toc19464"/>
      <w:bookmarkStart w:id="460" w:name="_Toc29865"/>
      <w:r>
        <w:rPr>
          <w:rFonts w:hint="eastAsia" w:eastAsia="仿宋" w:cs="宋体"/>
          <w:b/>
          <w:bCs/>
          <w:color w:val="auto"/>
          <w:szCs w:val="28"/>
          <w:highlight w:val="none"/>
        </w:rPr>
        <w:t>四、</w:t>
      </w:r>
      <w:bookmarkEnd w:id="428"/>
      <w:bookmarkEnd w:id="429"/>
      <w:bookmarkEnd w:id="430"/>
      <w:r>
        <w:rPr>
          <w:rFonts w:hint="eastAsia" w:eastAsia="仿宋" w:cs="宋体"/>
          <w:b/>
          <w:bCs/>
          <w:color w:val="auto"/>
          <w:szCs w:val="28"/>
          <w:highlight w:val="none"/>
        </w:rPr>
        <w:t>采购终止</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出现下列情形之一的，采购人或者采购代理机构应当终止</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采购活动，发布项目终止公告并说明原因，重新开展采购活动：</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（一）因情况变化，不再符合规定的</w:t>
      </w:r>
      <w:r>
        <w:rPr>
          <w:rFonts w:hint="eastAsia" w:ascii="方正仿宋_GBK" w:hAnsi="仿宋" w:eastAsia="仿宋" w:cs="仿宋"/>
          <w:color w:val="auto"/>
          <w:kern w:val="0"/>
          <w:szCs w:val="28"/>
          <w:highlight w:val="none"/>
          <w:lang w:eastAsia="zh-CN"/>
        </w:rPr>
        <w:t>该</w:t>
      </w:r>
      <w:r>
        <w:rPr>
          <w:rFonts w:hint="eastAsia" w:ascii="方正仿宋_GBK" w:hAnsi="仿宋" w:eastAsia="仿宋" w:cs="仿宋"/>
          <w:color w:val="auto"/>
          <w:kern w:val="0"/>
          <w:szCs w:val="28"/>
          <w:highlight w:val="none"/>
        </w:rPr>
        <w:t>采购方式适用情形的；</w:t>
      </w: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（二）出现影响采购公正的违法、违规行为的；</w:t>
      </w:r>
    </w:p>
    <w:p>
      <w:pPr>
        <w:spacing w:line="520" w:lineRule="exact"/>
        <w:ind w:firstLine="438" w:firstLineChars="200"/>
        <w:jc w:val="left"/>
        <w:rPr>
          <w:rFonts w:ascii="方正仿宋_GBK" w:hAnsi="仿宋" w:eastAsia="仿宋" w:cs="仿宋"/>
          <w:color w:val="auto"/>
          <w:kern w:val="0"/>
          <w:szCs w:val="28"/>
          <w:highlight w:val="none"/>
        </w:rPr>
        <w:sectPr>
          <w:pgSz w:w="11907" w:h="16840"/>
          <w:pgMar w:top="1134" w:right="1191" w:bottom="1134" w:left="1304" w:header="794" w:footer="992" w:gutter="0"/>
          <w:pgBorders>
            <w:top w:val="none" w:sz="0" w:space="0"/>
            <w:left w:val="none" w:sz="0" w:space="0"/>
            <w:bottom w:val="none" w:sz="0" w:space="0"/>
            <w:right w:val="none" w:sz="0" w:space="0"/>
          </w:pgBorders>
          <w:pgNumType w:fmt="decimal"/>
          <w:cols w:space="720" w:num="1"/>
          <w:docGrid w:type="linesAndChars" w:linePitch="393" w:charSpace="-4325"/>
        </w:sectPr>
      </w:pPr>
      <w:r>
        <w:rPr>
          <w:rFonts w:hint="eastAsia" w:ascii="方正仿宋_GBK" w:hAnsi="仿宋" w:eastAsia="仿宋" w:cs="仿宋"/>
          <w:color w:val="auto"/>
          <w:kern w:val="0"/>
          <w:szCs w:val="28"/>
          <w:highlight w:val="none"/>
        </w:rPr>
        <w:t>（三）在采购过程中符合要求的供应商不足3家的。</w:t>
      </w:r>
    </w:p>
    <w:bookmarkEnd w:id="427"/>
    <w:p>
      <w:pPr>
        <w:pStyle w:val="3"/>
        <w:numPr>
          <w:ilvl w:val="0"/>
          <w:numId w:val="0"/>
        </w:numPr>
        <w:tabs>
          <w:tab w:val="clear" w:pos="3360"/>
        </w:tabs>
        <w:spacing w:before="120" w:after="120"/>
        <w:ind w:leftChars="0"/>
        <w:rPr>
          <w:color w:val="auto"/>
          <w:szCs w:val="22"/>
          <w:highlight w:val="none"/>
        </w:rPr>
      </w:pPr>
      <w:bookmarkStart w:id="461" w:name="_Toc19943"/>
      <w:bookmarkStart w:id="462" w:name="_Toc31912"/>
      <w:bookmarkStart w:id="463" w:name="_Toc28550"/>
      <w:bookmarkStart w:id="464" w:name="_Toc25684"/>
      <w:bookmarkStart w:id="465" w:name="_Toc26024"/>
      <w:bookmarkStart w:id="466" w:name="_Toc29941"/>
      <w:bookmarkStart w:id="467" w:name="_Toc2595"/>
      <w:bookmarkStart w:id="468" w:name="_Toc28113"/>
      <w:bookmarkStart w:id="469" w:name="_Toc27672"/>
      <w:bookmarkStart w:id="470" w:name="_Toc48837320"/>
      <w:bookmarkStart w:id="471" w:name="_Toc2670"/>
      <w:bookmarkStart w:id="472" w:name="_Toc1914"/>
      <w:bookmarkStart w:id="473" w:name="_Toc23757"/>
      <w:bookmarkStart w:id="474" w:name="_Toc21571"/>
      <w:bookmarkStart w:id="475" w:name="_Toc17877"/>
      <w:bookmarkStart w:id="476" w:name="_Toc10626"/>
      <w:bookmarkStart w:id="477" w:name="_Toc14826"/>
      <w:bookmarkStart w:id="478" w:name="_Toc3704"/>
      <w:bookmarkStart w:id="479" w:name="_Toc11106"/>
      <w:bookmarkStart w:id="480" w:name="_Toc30537"/>
      <w:bookmarkStart w:id="481" w:name="_Toc11270"/>
      <w:bookmarkStart w:id="482" w:name="_Toc30219"/>
      <w:bookmarkStart w:id="483" w:name="_Toc25557"/>
      <w:bookmarkStart w:id="484" w:name="_Toc28095"/>
      <w:bookmarkStart w:id="485" w:name="_Toc7488"/>
      <w:bookmarkStart w:id="486" w:name="_Toc12249"/>
      <w:bookmarkStart w:id="487" w:name="_Toc6408"/>
      <w:bookmarkStart w:id="488" w:name="_Toc11334"/>
      <w:r>
        <w:rPr>
          <w:rFonts w:hint="eastAsia"/>
          <w:color w:val="auto"/>
          <w:szCs w:val="22"/>
          <w:highlight w:val="none"/>
          <w:lang w:eastAsia="zh-CN"/>
        </w:rPr>
        <w:t>第五篇</w:t>
      </w:r>
      <w:r>
        <w:rPr>
          <w:rFonts w:hint="eastAsia"/>
          <w:color w:val="auto"/>
          <w:szCs w:val="22"/>
          <w:highlight w:val="none"/>
          <w:lang w:val="en-US" w:eastAsia="zh-CN"/>
        </w:rPr>
        <w:t xml:space="preserve"> </w:t>
      </w:r>
      <w:r>
        <w:rPr>
          <w:rFonts w:hint="eastAsia"/>
          <w:color w:val="auto"/>
          <w:szCs w:val="22"/>
          <w:highlight w:val="none"/>
        </w:rPr>
        <w:t>供应商须知</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keepNext w:val="0"/>
        <w:keepLines w:val="0"/>
        <w:pageBreakBefore w:val="0"/>
        <w:widowControl w:val="0"/>
        <w:kinsoku/>
        <w:wordWrap/>
        <w:overflowPunct/>
        <w:topLinePunct w:val="0"/>
        <w:autoSpaceDE/>
        <w:autoSpaceDN/>
        <w:bidi w:val="0"/>
        <w:adjustRightInd/>
        <w:spacing w:before="156" w:after="156" w:line="520" w:lineRule="exact"/>
        <w:ind w:firstLine="482" w:firstLineChars="200"/>
        <w:jc w:val="left"/>
        <w:textAlignment w:val="auto"/>
        <w:outlineLvl w:val="1"/>
        <w:rPr>
          <w:rFonts w:eastAsia="仿宋" w:cs="宋体"/>
          <w:b/>
          <w:bCs/>
          <w:color w:val="auto"/>
          <w:szCs w:val="28"/>
          <w:highlight w:val="none"/>
        </w:rPr>
      </w:pPr>
      <w:bookmarkStart w:id="489" w:name="_Toc48837321"/>
      <w:bookmarkStart w:id="490" w:name="_Toc11889"/>
      <w:bookmarkStart w:id="491" w:name="_Toc25930"/>
      <w:bookmarkStart w:id="492" w:name="_Toc7063"/>
      <w:bookmarkStart w:id="493" w:name="_Toc18692"/>
      <w:bookmarkStart w:id="494" w:name="_Toc24005"/>
      <w:bookmarkStart w:id="495" w:name="_Toc18984"/>
      <w:bookmarkStart w:id="496" w:name="_Toc6608"/>
      <w:bookmarkStart w:id="497" w:name="_Toc26802"/>
      <w:bookmarkStart w:id="498" w:name="_Toc15846"/>
      <w:bookmarkStart w:id="499" w:name="_Toc4340"/>
      <w:bookmarkStart w:id="500" w:name="_Toc1122"/>
      <w:bookmarkStart w:id="501" w:name="_Toc10737"/>
      <w:bookmarkStart w:id="502" w:name="_Toc24216"/>
      <w:bookmarkStart w:id="503" w:name="_Toc22525"/>
      <w:bookmarkStart w:id="504" w:name="_Toc11853"/>
      <w:bookmarkStart w:id="505" w:name="_Toc65512156"/>
      <w:bookmarkStart w:id="506" w:name="_Toc1817"/>
      <w:bookmarkStart w:id="507" w:name="_Toc17191"/>
      <w:bookmarkStart w:id="508" w:name="_Toc5449"/>
      <w:bookmarkStart w:id="509" w:name="_Toc27012"/>
      <w:bookmarkStart w:id="510" w:name="_Toc8802"/>
      <w:bookmarkStart w:id="511" w:name="_Toc22471"/>
      <w:bookmarkStart w:id="512" w:name="_Toc18065"/>
      <w:bookmarkStart w:id="513" w:name="_Toc7838"/>
      <w:bookmarkStart w:id="514" w:name="_Toc28864"/>
      <w:bookmarkStart w:id="515" w:name="_Toc4154"/>
      <w:bookmarkStart w:id="516" w:name="_Toc6949"/>
      <w:bookmarkStart w:id="517" w:name="_Toc22160"/>
      <w:bookmarkStart w:id="518" w:name="_Toc495592661"/>
      <w:r>
        <w:rPr>
          <w:rFonts w:hint="eastAsia" w:eastAsia="仿宋" w:cs="宋体"/>
          <w:b/>
          <w:bCs/>
          <w:color w:val="auto"/>
          <w:szCs w:val="28"/>
          <w:highlight w:val="none"/>
        </w:rPr>
        <w:t>一、</w:t>
      </w:r>
      <w:r>
        <w:rPr>
          <w:rFonts w:hint="eastAsia" w:eastAsia="仿宋" w:cs="宋体"/>
          <w:b/>
          <w:bCs/>
          <w:color w:val="auto"/>
          <w:szCs w:val="28"/>
          <w:highlight w:val="none"/>
          <w:lang w:eastAsia="zh-CN"/>
        </w:rPr>
        <w:t>遴选</w:t>
      </w:r>
      <w:r>
        <w:rPr>
          <w:rFonts w:hint="eastAsia" w:eastAsia="仿宋" w:cs="宋体"/>
          <w:b/>
          <w:bCs/>
          <w:color w:val="auto"/>
          <w:szCs w:val="28"/>
          <w:highlight w:val="none"/>
        </w:rPr>
        <w:t>费用</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参与</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的供应商应承担其编制响应文件与递交响应文件所涉及的一切费用，不论</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结果如何，采购人在任何情况下无义务也无责任承担这些费用。</w:t>
      </w:r>
    </w:p>
    <w:bookmarkEnd w:id="518"/>
    <w:p>
      <w:pPr>
        <w:keepNext w:val="0"/>
        <w:keepLines w:val="0"/>
        <w:pageBreakBefore w:val="0"/>
        <w:widowControl w:val="0"/>
        <w:kinsoku/>
        <w:wordWrap/>
        <w:overflowPunct/>
        <w:topLinePunct w:val="0"/>
        <w:autoSpaceDE/>
        <w:autoSpaceDN/>
        <w:bidi w:val="0"/>
        <w:adjustRightInd/>
        <w:spacing w:before="156" w:after="156" w:line="520" w:lineRule="exact"/>
        <w:ind w:firstLine="482" w:firstLineChars="200"/>
        <w:jc w:val="left"/>
        <w:textAlignment w:val="auto"/>
        <w:outlineLvl w:val="1"/>
        <w:rPr>
          <w:rFonts w:eastAsia="仿宋" w:cs="宋体"/>
          <w:b/>
          <w:bCs/>
          <w:color w:val="auto"/>
          <w:szCs w:val="28"/>
          <w:highlight w:val="none"/>
        </w:rPr>
      </w:pPr>
      <w:bookmarkStart w:id="519" w:name="_Toc48837322"/>
      <w:bookmarkStart w:id="520" w:name="_Toc6793"/>
      <w:bookmarkStart w:id="521" w:name="_Toc28248"/>
      <w:bookmarkStart w:id="522" w:name="_Toc24056"/>
      <w:bookmarkStart w:id="523" w:name="_Toc26385"/>
      <w:bookmarkStart w:id="524" w:name="_Toc6050"/>
      <w:bookmarkStart w:id="525" w:name="_Toc11594"/>
      <w:bookmarkStart w:id="526" w:name="_Toc24459"/>
      <w:bookmarkStart w:id="527" w:name="_Toc31824"/>
      <w:bookmarkStart w:id="528" w:name="_Toc3940"/>
      <w:bookmarkStart w:id="529" w:name="_Toc5175"/>
      <w:bookmarkStart w:id="530" w:name="_Toc18712"/>
      <w:bookmarkStart w:id="531" w:name="_Toc17888"/>
      <w:bookmarkStart w:id="532" w:name="_Toc15823"/>
      <w:bookmarkStart w:id="533" w:name="_Toc26700"/>
      <w:bookmarkStart w:id="534" w:name="_Toc466546926"/>
      <w:bookmarkStart w:id="535" w:name="_Toc65512157"/>
      <w:bookmarkStart w:id="536" w:name="_Toc2882"/>
      <w:bookmarkStart w:id="537" w:name="_Toc32292"/>
      <w:bookmarkStart w:id="538" w:name="_Toc22862"/>
      <w:bookmarkStart w:id="539" w:name="_Toc27928"/>
      <w:bookmarkStart w:id="540" w:name="_Toc13873"/>
      <w:bookmarkStart w:id="541" w:name="_Toc8987"/>
      <w:bookmarkStart w:id="542" w:name="_Toc1425"/>
      <w:bookmarkStart w:id="543" w:name="_Toc6684"/>
      <w:bookmarkStart w:id="544" w:name="_Toc7965"/>
      <w:bookmarkStart w:id="545" w:name="_Toc30461"/>
      <w:bookmarkStart w:id="546" w:name="_Toc17503"/>
      <w:bookmarkStart w:id="547" w:name="_Toc29110"/>
      <w:bookmarkStart w:id="548" w:name="_Toc23225"/>
      <w:bookmarkStart w:id="549" w:name="_Toc15149"/>
      <w:bookmarkStart w:id="550" w:name="_Toc495592662"/>
      <w:r>
        <w:rPr>
          <w:rFonts w:hint="eastAsia" w:eastAsia="仿宋" w:cs="宋体"/>
          <w:b/>
          <w:bCs/>
          <w:color w:val="auto"/>
          <w:szCs w:val="28"/>
          <w:highlight w:val="none"/>
        </w:rPr>
        <w:t>二、</w:t>
      </w:r>
      <w:r>
        <w:rPr>
          <w:rFonts w:hint="eastAsia" w:eastAsia="仿宋" w:cs="宋体"/>
          <w:b/>
          <w:bCs/>
          <w:color w:val="auto"/>
          <w:szCs w:val="28"/>
          <w:highlight w:val="none"/>
          <w:lang w:eastAsia="zh-CN"/>
        </w:rPr>
        <w:t>遴选</w:t>
      </w:r>
      <w:r>
        <w:rPr>
          <w:rFonts w:hint="eastAsia" w:eastAsia="仿宋" w:cs="宋体"/>
          <w:b/>
          <w:bCs/>
          <w:color w:val="auto"/>
          <w:szCs w:val="28"/>
          <w:highlight w:val="none"/>
        </w:rPr>
        <w:t>文件</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文件由采购邀请书，采购服务（技术）需求，采购商务需求，</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程序及方法、评审标准、无效响应和采购终止，供应商须知，响应文件编制要求等</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部分组成。</w:t>
      </w:r>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（二）采购人所作的一切有效的书面通知、修改及补充，都是</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文件不可分割的部分。</w:t>
      </w:r>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三</w:t>
      </w:r>
      <w:r>
        <w:rPr>
          <w:rFonts w:hint="eastAsia" w:ascii="方正仿宋_GBK" w:hAnsi="仿宋" w:eastAsia="仿宋" w:cs="仿宋"/>
          <w:color w:val="auto"/>
          <w:kern w:val="0"/>
          <w:szCs w:val="28"/>
          <w:highlight w:val="none"/>
        </w:rPr>
        <w:t>）本</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文件中，</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小组根据与供应商进行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可能实质性变动的内容为</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文件第二、三篇全部内容。</w:t>
      </w:r>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四</w:t>
      </w:r>
      <w:r>
        <w:rPr>
          <w:rFonts w:hint="eastAsia" w:ascii="方正仿宋_GBK" w:hAnsi="仿宋" w:eastAsia="仿宋" w:cs="仿宋"/>
          <w:color w:val="auto"/>
          <w:kern w:val="0"/>
          <w:szCs w:val="28"/>
          <w:highlight w:val="none"/>
        </w:rPr>
        <w:t>）评审的依据为</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文件和响应文件（含有效的书面承诺）。</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小组判断响应文件对</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文件的响应，仅基于响应文件本身而不靠外部证据。</w:t>
      </w:r>
    </w:p>
    <w:p>
      <w:pPr>
        <w:keepNext w:val="0"/>
        <w:keepLines w:val="0"/>
        <w:pageBreakBefore w:val="0"/>
        <w:widowControl w:val="0"/>
        <w:kinsoku/>
        <w:wordWrap/>
        <w:overflowPunct/>
        <w:topLinePunct w:val="0"/>
        <w:autoSpaceDE/>
        <w:autoSpaceDN/>
        <w:bidi w:val="0"/>
        <w:adjustRightInd/>
        <w:spacing w:before="156" w:after="156" w:line="520" w:lineRule="exact"/>
        <w:ind w:firstLine="482" w:firstLineChars="200"/>
        <w:jc w:val="left"/>
        <w:textAlignment w:val="auto"/>
        <w:outlineLvl w:val="1"/>
        <w:rPr>
          <w:rFonts w:eastAsia="仿宋" w:cs="宋体"/>
          <w:b/>
          <w:bCs/>
          <w:color w:val="auto"/>
          <w:szCs w:val="28"/>
          <w:highlight w:val="none"/>
        </w:rPr>
      </w:pPr>
      <w:bookmarkStart w:id="551" w:name="_Toc755"/>
      <w:bookmarkStart w:id="552" w:name="_Toc24110"/>
      <w:bookmarkStart w:id="553" w:name="_Toc13318"/>
      <w:bookmarkStart w:id="554" w:name="_Toc16031"/>
      <w:bookmarkStart w:id="555" w:name="_Toc12088"/>
      <w:bookmarkStart w:id="556" w:name="_Toc7846"/>
      <w:bookmarkStart w:id="557" w:name="_Toc65512158"/>
      <w:bookmarkStart w:id="558" w:name="_Toc6181"/>
      <w:bookmarkStart w:id="559" w:name="_Toc24924"/>
      <w:bookmarkStart w:id="560" w:name="_Toc1475"/>
      <w:bookmarkStart w:id="561" w:name="_Toc3092"/>
      <w:bookmarkStart w:id="562" w:name="_Toc48837323"/>
      <w:bookmarkStart w:id="563" w:name="_Toc144"/>
      <w:bookmarkStart w:id="564" w:name="_Toc2271"/>
      <w:bookmarkStart w:id="565" w:name="_Toc4761"/>
      <w:bookmarkStart w:id="566" w:name="_Toc12571"/>
      <w:bookmarkStart w:id="567" w:name="_Toc23284"/>
      <w:bookmarkStart w:id="568" w:name="_Toc14931"/>
      <w:bookmarkStart w:id="569" w:name="_Toc14092"/>
      <w:bookmarkStart w:id="570" w:name="_Toc27538"/>
      <w:bookmarkStart w:id="571" w:name="_Toc24716"/>
      <w:bookmarkStart w:id="572" w:name="_Toc1990"/>
      <w:bookmarkStart w:id="573" w:name="_Toc4956"/>
      <w:bookmarkStart w:id="574" w:name="_Toc21645"/>
      <w:bookmarkStart w:id="575" w:name="_Toc26135"/>
      <w:bookmarkStart w:id="576" w:name="_Toc18120"/>
      <w:bookmarkStart w:id="577" w:name="_Toc19275"/>
      <w:bookmarkStart w:id="578" w:name="_Toc18397"/>
      <w:r>
        <w:rPr>
          <w:rFonts w:hint="eastAsia" w:eastAsia="仿宋" w:cs="宋体"/>
          <w:b/>
          <w:bCs/>
          <w:color w:val="auto"/>
          <w:szCs w:val="28"/>
          <w:highlight w:val="none"/>
        </w:rPr>
        <w:t>三、</w:t>
      </w:r>
      <w:bookmarkEnd w:id="550"/>
      <w:r>
        <w:rPr>
          <w:rFonts w:hint="eastAsia" w:eastAsia="仿宋" w:cs="宋体"/>
          <w:b/>
          <w:bCs/>
          <w:color w:val="auto"/>
          <w:szCs w:val="28"/>
          <w:highlight w:val="none"/>
          <w:lang w:eastAsia="zh-CN"/>
        </w:rPr>
        <w:t>遴选</w:t>
      </w:r>
      <w:r>
        <w:rPr>
          <w:rFonts w:hint="eastAsia" w:eastAsia="仿宋" w:cs="宋体"/>
          <w:b/>
          <w:bCs/>
          <w:color w:val="auto"/>
          <w:szCs w:val="28"/>
          <w:highlight w:val="none"/>
        </w:rPr>
        <w:t>要求</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keepNext w:val="0"/>
        <w:keepLines w:val="0"/>
        <w:pageBreakBefore w:val="0"/>
        <w:widowControl w:val="0"/>
        <w:kinsoku/>
        <w:wordWrap/>
        <w:overflowPunct/>
        <w:topLinePunct w:val="0"/>
        <w:autoSpaceDE/>
        <w:autoSpaceDN/>
        <w:bidi w:val="0"/>
        <w:adjustRightInd/>
        <w:spacing w:line="520" w:lineRule="exact"/>
        <w:ind w:firstLine="480" w:firstLineChars="200"/>
        <w:jc w:val="left"/>
        <w:textAlignment w:val="auto"/>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（一）响应文件</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1.供应商应当按照</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文件的要求编制响应文件，并对</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文件提出的要求和条件作出实质性响应，响应文件原则上采用软面订本，同时应编制完整的页码、目录。</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2.响应文件组成</w:t>
      </w:r>
    </w:p>
    <w:p>
      <w:pPr>
        <w:spacing w:line="520" w:lineRule="exact"/>
        <w:ind w:firstLine="480" w:firstLineChars="200"/>
        <w:jc w:val="left"/>
        <w:rPr>
          <w:rFonts w:ascii="宋体" w:hAnsi="宋体" w:eastAsia="仿宋" w:cs="宋体"/>
          <w:color w:val="auto"/>
          <w:highlight w:val="none"/>
        </w:rPr>
      </w:pPr>
      <w:r>
        <w:rPr>
          <w:rFonts w:hint="eastAsia" w:ascii="方正仿宋_GBK" w:hAnsi="仿宋" w:eastAsia="仿宋" w:cs="仿宋"/>
          <w:color w:val="auto"/>
          <w:kern w:val="0"/>
          <w:szCs w:val="28"/>
          <w:highlight w:val="none"/>
        </w:rPr>
        <w:t>响应文件由第</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篇“响应文件编制要求”规定的部分和供应商所作的一切有效补充、修改和承诺等文件组成，供应商应按照第</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篇“响应文件编制要求”规定的目录顺序组织编写和装订，也可在基本格式基础上对表格进行扩展，未规定格式的由供应商自定格式。</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（二）联合体</w:t>
      </w:r>
    </w:p>
    <w:p>
      <w:pPr>
        <w:spacing w:line="520" w:lineRule="exact"/>
        <w:ind w:firstLine="480" w:firstLineChars="200"/>
        <w:jc w:val="left"/>
        <w:rPr>
          <w:rFonts w:hint="eastAsia" w:eastAsia="方正仿宋_GBK"/>
          <w:color w:val="auto"/>
          <w:highlight w:val="none"/>
          <w:lang w:eastAsia="zh-CN"/>
        </w:rPr>
      </w:pPr>
      <w:bookmarkStart w:id="579" w:name="_Hlk84853302"/>
      <w:r>
        <w:rPr>
          <w:rFonts w:hint="eastAsia" w:ascii="方正仿宋_GBK" w:hAnsi="仿宋" w:eastAsia="仿宋" w:cs="仿宋"/>
          <w:color w:val="auto"/>
          <w:kern w:val="0"/>
          <w:szCs w:val="28"/>
          <w:highlight w:val="none"/>
          <w:lang w:eastAsia="zh-CN"/>
        </w:rPr>
        <w:t>本项目不接受联合体投标</w:t>
      </w:r>
    </w:p>
    <w:bookmarkEnd w:id="579"/>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有效期：响应文件及有关承诺文件有效期为提交响应文件截止时间起90天。</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四</w:t>
      </w:r>
      <w:r>
        <w:rPr>
          <w:rFonts w:hint="eastAsia" w:ascii="方正仿宋_GBK" w:hAnsi="仿宋" w:eastAsia="仿宋" w:cs="仿宋"/>
          <w:color w:val="auto"/>
          <w:kern w:val="0"/>
          <w:szCs w:val="28"/>
          <w:highlight w:val="none"/>
        </w:rPr>
        <w:t>）提交响应文件的份数和签署</w:t>
      </w:r>
    </w:p>
    <w:p>
      <w:pPr>
        <w:spacing w:line="520" w:lineRule="exact"/>
        <w:ind w:firstLine="480" w:firstLineChars="200"/>
        <w:jc w:val="left"/>
        <w:rPr>
          <w:rFonts w:ascii="方正仿宋_GBK" w:hAnsi="仿宋" w:eastAsia="仿宋" w:cs="仿宋"/>
          <w:b w:val="0"/>
          <w:bCs w:val="0"/>
          <w:color w:val="auto"/>
          <w:kern w:val="0"/>
          <w:szCs w:val="28"/>
          <w:highlight w:val="none"/>
          <w:u w:val="none"/>
        </w:rPr>
      </w:pPr>
      <w:bookmarkStart w:id="580" w:name="_Hlk84855761"/>
      <w:r>
        <w:rPr>
          <w:rFonts w:hint="eastAsia" w:ascii="方正仿宋_GBK" w:hAnsi="仿宋" w:eastAsia="仿宋" w:cs="仿宋"/>
          <w:b w:val="0"/>
          <w:bCs w:val="0"/>
          <w:color w:val="auto"/>
          <w:kern w:val="0"/>
          <w:szCs w:val="28"/>
          <w:highlight w:val="none"/>
          <w:u w:val="none"/>
        </w:rPr>
        <w:t>1.响应文件一式</w:t>
      </w:r>
      <w:r>
        <w:rPr>
          <w:rFonts w:hint="eastAsia" w:ascii="方正仿宋_GBK" w:hAnsi="仿宋" w:eastAsia="仿宋" w:cs="仿宋"/>
          <w:b w:val="0"/>
          <w:bCs w:val="0"/>
          <w:color w:val="auto"/>
          <w:kern w:val="0"/>
          <w:szCs w:val="28"/>
          <w:highlight w:val="none"/>
          <w:u w:val="none"/>
          <w:lang w:eastAsia="zh-CN"/>
        </w:rPr>
        <w:t>两</w:t>
      </w:r>
      <w:r>
        <w:rPr>
          <w:rFonts w:hint="eastAsia" w:ascii="方正仿宋_GBK" w:hAnsi="仿宋" w:eastAsia="仿宋" w:cs="仿宋"/>
          <w:b w:val="0"/>
          <w:bCs w:val="0"/>
          <w:color w:val="auto"/>
          <w:kern w:val="0"/>
          <w:szCs w:val="28"/>
          <w:highlight w:val="none"/>
          <w:u w:val="none"/>
        </w:rPr>
        <w:t>份，其中正本一份，副本一份，副本可为正本的复印件，应与正本一致，如出现不一致情况以正本为准。</w:t>
      </w:r>
      <w:bookmarkEnd w:id="580"/>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2.在响应文件正本中，</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篇“响应文件编制要求”中规定签字、盖章的地方必须按其规定签字、盖章。</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五</w:t>
      </w:r>
      <w:r>
        <w:rPr>
          <w:rFonts w:hint="eastAsia" w:ascii="方正仿宋_GBK" w:hAnsi="仿宋" w:eastAsia="仿宋" w:cs="仿宋"/>
          <w:color w:val="auto"/>
          <w:kern w:val="0"/>
          <w:szCs w:val="28"/>
          <w:highlight w:val="none"/>
        </w:rPr>
        <w:t>）</w:t>
      </w:r>
      <w:bookmarkStart w:id="581" w:name="_Hlk84855887"/>
      <w:r>
        <w:rPr>
          <w:rFonts w:hint="eastAsia" w:ascii="方正仿宋_GBK" w:hAnsi="仿宋" w:eastAsia="仿宋" w:cs="仿宋"/>
          <w:color w:val="auto"/>
          <w:kern w:val="0"/>
          <w:szCs w:val="28"/>
          <w:highlight w:val="none"/>
        </w:rPr>
        <w:t>响应文件的递交</w:t>
      </w:r>
    </w:p>
    <w:p>
      <w:pPr>
        <w:spacing w:line="520" w:lineRule="exact"/>
        <w:ind w:firstLine="480" w:firstLineChars="200"/>
        <w:jc w:val="left"/>
        <w:rPr>
          <w:rFonts w:ascii="方正仿宋_GBK" w:hAnsi="仿宋" w:eastAsia="仿宋" w:cs="仿宋"/>
          <w:color w:val="auto"/>
          <w:kern w:val="0"/>
          <w:szCs w:val="28"/>
          <w:highlight w:val="none"/>
        </w:rPr>
      </w:pPr>
      <w:bookmarkStart w:id="582" w:name="_Toc5765"/>
      <w:bookmarkStart w:id="583" w:name="_Toc5414"/>
      <w:bookmarkStart w:id="584" w:name="_Toc466546928"/>
      <w:r>
        <w:rPr>
          <w:rFonts w:hint="eastAsia" w:ascii="方正仿宋_GBK" w:hAnsi="仿宋" w:eastAsia="仿宋" w:cs="仿宋"/>
          <w:color w:val="auto"/>
          <w:kern w:val="0"/>
          <w:szCs w:val="28"/>
          <w:highlight w:val="none"/>
        </w:rPr>
        <w:t>响应文件的正本、副本均应密封送达</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地点，应在封套上注明</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项目名称、供应商名称。若正本、副本分别进行密封的，还应在封套上注明“正本”、“副本”字样。</w:t>
      </w:r>
      <w:bookmarkEnd w:id="581"/>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）响应文件语言：简体中文</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七</w:t>
      </w:r>
      <w:r>
        <w:rPr>
          <w:rFonts w:hint="eastAsia" w:ascii="方正仿宋_GBK" w:hAnsi="仿宋" w:eastAsia="仿宋" w:cs="仿宋"/>
          <w:color w:val="auto"/>
          <w:kern w:val="0"/>
          <w:szCs w:val="28"/>
          <w:highlight w:val="none"/>
        </w:rPr>
        <w:t>）供应商参与人员</w:t>
      </w:r>
    </w:p>
    <w:p>
      <w:pPr>
        <w:spacing w:line="520" w:lineRule="exact"/>
        <w:ind w:firstLine="480" w:firstLineChars="200"/>
        <w:jc w:val="left"/>
        <w:rPr>
          <w:color w:val="auto"/>
          <w:highlight w:val="none"/>
        </w:rPr>
      </w:pPr>
      <w:r>
        <w:rPr>
          <w:rFonts w:hint="eastAsia" w:ascii="方正仿宋_GBK" w:hAnsi="仿宋" w:eastAsia="仿宋" w:cs="仿宋"/>
          <w:color w:val="auto"/>
          <w:kern w:val="0"/>
          <w:szCs w:val="28"/>
          <w:highlight w:val="none"/>
        </w:rPr>
        <w:t>各个供应商应当派1-2名代表参与</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，至少1人应为法定代表人（或其授权代表）或自然人（供应商为自然人）。</w:t>
      </w:r>
      <w:bookmarkEnd w:id="582"/>
      <w:bookmarkEnd w:id="583"/>
      <w:bookmarkEnd w:id="584"/>
      <w:bookmarkStart w:id="585" w:name="_Toc9630"/>
      <w:bookmarkStart w:id="586" w:name="_Toc20781"/>
      <w:bookmarkStart w:id="587" w:name="_Toc342913395"/>
      <w:bookmarkStart w:id="588" w:name="_Toc23363"/>
      <w:bookmarkStart w:id="589" w:name="_Toc15745"/>
      <w:bookmarkStart w:id="590" w:name="_Toc28017"/>
      <w:bookmarkStart w:id="591" w:name="_Toc466546929"/>
      <w:bookmarkStart w:id="592" w:name="_Toc48837325"/>
      <w:bookmarkStart w:id="593" w:name="_Toc1926"/>
      <w:bookmarkStart w:id="594" w:name="_Toc20683"/>
      <w:bookmarkStart w:id="595" w:name="_Toc31319"/>
      <w:bookmarkStart w:id="596" w:name="_Toc8011"/>
      <w:bookmarkStart w:id="597" w:name="_Toc3121"/>
      <w:bookmarkStart w:id="598" w:name="_Toc5692"/>
      <w:bookmarkStart w:id="599" w:name="_Toc102227321"/>
      <w:bookmarkStart w:id="600" w:name="_Toc65512160"/>
      <w:bookmarkStart w:id="601" w:name="_Toc2040"/>
      <w:bookmarkStart w:id="602" w:name="_Toc3826"/>
      <w:bookmarkStart w:id="603" w:name="_Toc1299"/>
      <w:bookmarkStart w:id="604" w:name="_Toc6889"/>
      <w:bookmarkStart w:id="605" w:name="_Toc13622"/>
      <w:bookmarkStart w:id="606" w:name="_Toc59"/>
      <w:bookmarkStart w:id="607" w:name="_Toc10869"/>
      <w:bookmarkStart w:id="608" w:name="_Toc14938"/>
      <w:bookmarkStart w:id="609" w:name="_Toc25570"/>
      <w:bookmarkStart w:id="610" w:name="_Toc28797"/>
      <w:bookmarkStart w:id="611" w:name="_Toc16539"/>
      <w:bookmarkStart w:id="612" w:name="_Toc16450"/>
      <w:bookmarkStart w:id="613" w:name="_Toc9838"/>
    </w:p>
    <w:p>
      <w:pPr>
        <w:spacing w:before="156" w:after="156" w:line="520" w:lineRule="exact"/>
        <w:ind w:firstLine="482" w:firstLineChars="200"/>
        <w:jc w:val="left"/>
        <w:outlineLvl w:val="1"/>
        <w:rPr>
          <w:rFonts w:eastAsia="仿宋" w:cs="宋体"/>
          <w:b/>
          <w:bCs/>
          <w:color w:val="auto"/>
          <w:szCs w:val="28"/>
          <w:highlight w:val="none"/>
        </w:rPr>
      </w:pPr>
      <w:bookmarkStart w:id="614" w:name="_Toc28491"/>
      <w:bookmarkStart w:id="615" w:name="_Toc5742"/>
      <w:bookmarkStart w:id="616" w:name="_Toc5593"/>
      <w:bookmarkStart w:id="617" w:name="_Toc21247"/>
      <w:r>
        <w:rPr>
          <w:rFonts w:hint="eastAsia" w:eastAsia="仿宋" w:cs="宋体"/>
          <w:b/>
          <w:bCs/>
          <w:color w:val="auto"/>
          <w:szCs w:val="28"/>
          <w:highlight w:val="none"/>
          <w:lang w:eastAsia="zh-CN"/>
        </w:rPr>
        <w:t>四</w:t>
      </w:r>
      <w:r>
        <w:rPr>
          <w:rFonts w:hint="eastAsia" w:eastAsia="仿宋" w:cs="宋体"/>
          <w:b/>
          <w:bCs/>
          <w:color w:val="auto"/>
          <w:szCs w:val="28"/>
          <w:highlight w:val="none"/>
        </w:rPr>
        <w:t>、成交通知</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（一）成交供应商确定后，采购</w:t>
      </w:r>
      <w:r>
        <w:rPr>
          <w:rFonts w:hint="eastAsia" w:ascii="方正仿宋_GBK" w:hAnsi="仿宋" w:eastAsia="仿宋" w:cs="仿宋"/>
          <w:color w:val="auto"/>
          <w:kern w:val="0"/>
          <w:szCs w:val="28"/>
          <w:highlight w:val="none"/>
          <w:lang w:eastAsia="zh-CN"/>
        </w:rPr>
        <w:t>人</w:t>
      </w:r>
      <w:r>
        <w:rPr>
          <w:rFonts w:hint="eastAsia" w:ascii="方正仿宋_GBK" w:hAnsi="仿宋" w:eastAsia="仿宋" w:cs="仿宋"/>
          <w:color w:val="auto"/>
          <w:kern w:val="0"/>
          <w:szCs w:val="28"/>
          <w:highlight w:val="none"/>
        </w:rPr>
        <w:t>将在重庆</w:t>
      </w:r>
      <w:r>
        <w:rPr>
          <w:rFonts w:hint="eastAsia" w:ascii="方正仿宋_GBK" w:hAnsi="仿宋" w:eastAsia="仿宋" w:cs="仿宋"/>
          <w:color w:val="auto"/>
          <w:kern w:val="0"/>
          <w:szCs w:val="28"/>
          <w:highlight w:val="none"/>
          <w:lang w:eastAsia="zh-CN"/>
        </w:rPr>
        <w:t>巴南区第二人民医院官网</w:t>
      </w:r>
      <w:r>
        <w:rPr>
          <w:rFonts w:hint="eastAsia" w:ascii="方正仿宋_GBK" w:hAnsi="仿宋" w:eastAsia="仿宋" w:cs="仿宋"/>
          <w:color w:val="auto"/>
          <w:kern w:val="0"/>
          <w:szCs w:val="28"/>
          <w:highlight w:val="none"/>
        </w:rPr>
        <w:t>上发布成交结果公告。</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（二）结果公告发出同时，采购</w:t>
      </w:r>
      <w:r>
        <w:rPr>
          <w:rFonts w:hint="eastAsia" w:ascii="方正仿宋_GBK" w:hAnsi="仿宋" w:eastAsia="仿宋" w:cs="仿宋"/>
          <w:color w:val="auto"/>
          <w:kern w:val="0"/>
          <w:szCs w:val="28"/>
          <w:highlight w:val="none"/>
          <w:lang w:eastAsia="zh-CN"/>
        </w:rPr>
        <w:t>人</w:t>
      </w:r>
      <w:r>
        <w:rPr>
          <w:rFonts w:hint="eastAsia" w:ascii="方正仿宋_GBK" w:hAnsi="仿宋" w:eastAsia="仿宋" w:cs="仿宋"/>
          <w:color w:val="auto"/>
          <w:kern w:val="0"/>
          <w:szCs w:val="28"/>
          <w:highlight w:val="none"/>
        </w:rPr>
        <w:t>将以书面形式发出《成交通知书》。《成交通知书》一经发出即发生法律效力。</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（三）《成交通知书》将作为签订合同的依据。</w:t>
      </w:r>
    </w:p>
    <w:p>
      <w:pPr>
        <w:spacing w:before="156" w:after="156" w:line="520" w:lineRule="exact"/>
        <w:ind w:firstLine="482" w:firstLineChars="200"/>
        <w:jc w:val="left"/>
        <w:outlineLvl w:val="1"/>
        <w:rPr>
          <w:rFonts w:eastAsia="仿宋" w:cs="宋体"/>
          <w:b/>
          <w:bCs/>
          <w:color w:val="auto"/>
          <w:szCs w:val="28"/>
          <w:highlight w:val="none"/>
        </w:rPr>
      </w:pPr>
      <w:bookmarkStart w:id="618" w:name="_Toc24231"/>
      <w:bookmarkStart w:id="619" w:name="_Toc2902"/>
      <w:bookmarkStart w:id="620" w:name="_Toc10976"/>
      <w:bookmarkStart w:id="621" w:name="_Toc22277"/>
      <w:bookmarkStart w:id="622" w:name="_Toc48837326"/>
      <w:bookmarkStart w:id="623" w:name="_Toc20298"/>
      <w:bookmarkStart w:id="624" w:name="_Toc14430"/>
      <w:bookmarkStart w:id="625" w:name="_Toc20152"/>
      <w:bookmarkStart w:id="626" w:name="_Toc11606"/>
      <w:bookmarkStart w:id="627" w:name="_Toc32388"/>
      <w:bookmarkStart w:id="628" w:name="_Toc466546930"/>
      <w:bookmarkStart w:id="629" w:name="_Toc13169"/>
      <w:bookmarkStart w:id="630" w:name="_Toc23002"/>
      <w:bookmarkStart w:id="631" w:name="_Toc6746"/>
      <w:bookmarkStart w:id="632" w:name="_Toc27976"/>
      <w:bookmarkStart w:id="633" w:name="_Toc65512161"/>
      <w:bookmarkStart w:id="634" w:name="_Toc22985"/>
      <w:bookmarkStart w:id="635" w:name="_Toc19735"/>
      <w:bookmarkStart w:id="636" w:name="_Toc11317"/>
      <w:bookmarkStart w:id="637" w:name="_Toc1541"/>
      <w:bookmarkStart w:id="638" w:name="_Toc16883"/>
      <w:bookmarkStart w:id="639" w:name="_Toc5312"/>
      <w:bookmarkStart w:id="640" w:name="_Toc5467"/>
      <w:bookmarkStart w:id="641" w:name="_Toc25914"/>
      <w:bookmarkStart w:id="642" w:name="_Toc30247"/>
      <w:bookmarkStart w:id="643" w:name="_Toc27598"/>
      <w:bookmarkStart w:id="644" w:name="_Toc12983"/>
      <w:bookmarkStart w:id="645" w:name="_Toc21650"/>
      <w:bookmarkStart w:id="646" w:name="_Toc22988"/>
      <w:bookmarkStart w:id="647" w:name="_Toc6151"/>
      <w:r>
        <w:rPr>
          <w:rFonts w:hint="eastAsia" w:eastAsia="仿宋" w:cs="宋体"/>
          <w:b/>
          <w:bCs/>
          <w:color w:val="auto"/>
          <w:szCs w:val="28"/>
          <w:highlight w:val="none"/>
          <w:lang w:eastAsia="zh-CN"/>
        </w:rPr>
        <w:t>五</w:t>
      </w:r>
      <w:r>
        <w:rPr>
          <w:rFonts w:hint="eastAsia" w:eastAsia="仿宋" w:cs="宋体"/>
          <w:b/>
          <w:bCs/>
          <w:color w:val="auto"/>
          <w:szCs w:val="28"/>
          <w:highlight w:val="none"/>
        </w:rPr>
        <w:t>、</w:t>
      </w:r>
      <w:bookmarkStart w:id="648" w:name="_Hlk84942436"/>
      <w:r>
        <w:rPr>
          <w:rFonts w:hint="eastAsia" w:eastAsia="仿宋" w:cs="宋体"/>
          <w:b/>
          <w:bCs/>
          <w:color w:val="auto"/>
          <w:szCs w:val="28"/>
          <w:highlight w:val="none"/>
        </w:rPr>
        <w:t>成交供应商的变更</w:t>
      </w:r>
      <w:bookmarkEnd w:id="618"/>
      <w:bookmarkEnd w:id="619"/>
      <w:bookmarkEnd w:id="620"/>
      <w:bookmarkEnd w:id="621"/>
      <w:bookmarkEnd w:id="648"/>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除不可抗力等因素外，成交通知书发出后，采购人改变成交结果，或者成交供应商拒绝签订采购合同的，应当承担相应的法律责任。</w:t>
      </w:r>
    </w:p>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Pr>
        <w:spacing w:before="156" w:after="156" w:line="520" w:lineRule="exact"/>
        <w:ind w:firstLine="482" w:firstLineChars="200"/>
        <w:jc w:val="left"/>
        <w:outlineLvl w:val="1"/>
        <w:rPr>
          <w:rFonts w:eastAsia="仿宋" w:cs="宋体"/>
          <w:b/>
          <w:bCs/>
          <w:color w:val="auto"/>
          <w:szCs w:val="28"/>
          <w:highlight w:val="none"/>
        </w:rPr>
      </w:pPr>
      <w:bookmarkStart w:id="649" w:name="_Toc102227322"/>
      <w:bookmarkStart w:id="650" w:name="_Toc22387"/>
      <w:bookmarkStart w:id="651" w:name="_Toc30977"/>
      <w:bookmarkStart w:id="652" w:name="_Toc48837327"/>
      <w:bookmarkStart w:id="653" w:name="_Toc2535"/>
      <w:bookmarkStart w:id="654" w:name="_Toc10058"/>
      <w:bookmarkStart w:id="655" w:name="_Toc25749"/>
      <w:bookmarkStart w:id="656" w:name="_Toc26939"/>
      <w:bookmarkStart w:id="657" w:name="_Toc6511"/>
      <w:bookmarkStart w:id="658" w:name="_Toc12792"/>
      <w:bookmarkStart w:id="659" w:name="_Toc9871"/>
      <w:bookmarkStart w:id="660" w:name="_Toc65512162"/>
      <w:bookmarkStart w:id="661" w:name="_Toc9101"/>
      <w:bookmarkStart w:id="662" w:name="_Toc30709"/>
      <w:bookmarkStart w:id="663" w:name="_Toc11926"/>
      <w:bookmarkStart w:id="664" w:name="_Toc22688"/>
      <w:bookmarkStart w:id="665" w:name="_Toc342913396"/>
      <w:bookmarkStart w:id="666" w:name="_Toc15949"/>
      <w:bookmarkStart w:id="667" w:name="_Toc1858"/>
      <w:bookmarkStart w:id="668" w:name="_Toc30962"/>
      <w:bookmarkStart w:id="669" w:name="_Toc4110"/>
      <w:bookmarkStart w:id="670" w:name="_Toc13271"/>
      <w:bookmarkStart w:id="671" w:name="_Toc26233"/>
      <w:bookmarkStart w:id="672" w:name="_Toc24988"/>
      <w:bookmarkStart w:id="673" w:name="_Toc1366"/>
      <w:bookmarkStart w:id="674" w:name="_Toc3190"/>
      <w:bookmarkStart w:id="675" w:name="_Toc25013"/>
      <w:bookmarkStart w:id="676" w:name="_Toc466546933"/>
      <w:bookmarkStart w:id="677" w:name="_Toc10380"/>
      <w:bookmarkStart w:id="678" w:name="_Toc28166"/>
      <w:bookmarkStart w:id="679" w:name="_Toc23596"/>
      <w:bookmarkStart w:id="680" w:name="_Toc29969"/>
      <w:bookmarkStart w:id="681" w:name="_Toc8030"/>
      <w:r>
        <w:rPr>
          <w:rFonts w:hint="eastAsia" w:eastAsia="仿宋" w:cs="宋体"/>
          <w:b/>
          <w:bCs/>
          <w:color w:val="auto"/>
          <w:szCs w:val="28"/>
          <w:highlight w:val="none"/>
          <w:lang w:eastAsia="zh-CN"/>
        </w:rPr>
        <w:t>六</w:t>
      </w:r>
      <w:r>
        <w:rPr>
          <w:rFonts w:hint="eastAsia" w:eastAsia="仿宋" w:cs="宋体"/>
          <w:b/>
          <w:bCs/>
          <w:color w:val="auto"/>
          <w:szCs w:val="28"/>
          <w:highlight w:val="none"/>
        </w:rPr>
        <w:t>、签订</w:t>
      </w:r>
      <w:bookmarkEnd w:id="649"/>
      <w:r>
        <w:rPr>
          <w:rFonts w:hint="eastAsia" w:eastAsia="仿宋" w:cs="宋体"/>
          <w:b/>
          <w:bCs/>
          <w:color w:val="auto"/>
          <w:szCs w:val="28"/>
          <w:highlight w:val="none"/>
        </w:rPr>
        <w:t>合同</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（一）采购人原则上自成交通知书发出之日起1</w:t>
      </w:r>
      <w:r>
        <w:rPr>
          <w:rFonts w:ascii="方正仿宋_GBK" w:hAnsi="仿宋" w:eastAsia="仿宋" w:cs="仿宋"/>
          <w:color w:val="auto"/>
          <w:kern w:val="0"/>
          <w:szCs w:val="28"/>
          <w:highlight w:val="none"/>
        </w:rPr>
        <w:t>0</w:t>
      </w:r>
      <w:r>
        <w:rPr>
          <w:rFonts w:hint="eastAsia" w:ascii="方正仿宋_GBK" w:hAnsi="仿宋" w:eastAsia="仿宋" w:cs="仿宋"/>
          <w:color w:val="auto"/>
          <w:kern w:val="0"/>
          <w:szCs w:val="28"/>
          <w:highlight w:val="none"/>
        </w:rPr>
        <w:t>日内，按照</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文件和成交供应商响应文件的约定，与成交供应商签订书面合同。所签订的合同不得对</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文件和供应商的响应文件作实质性修改。其他未尽事宜由采购人和成交人在采购合同中详细约定。成交供应商逾期或拒绝或不按成交状态签订合同的，按政府采购法的有关规定进行严肃处理。</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二</w:t>
      </w: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文件、供应商的响应文件及澄清文件等，均为签订采购合同的依据。</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三</w:t>
      </w:r>
      <w:r>
        <w:rPr>
          <w:rFonts w:hint="eastAsia" w:ascii="方正仿宋_GBK" w:hAnsi="仿宋" w:eastAsia="仿宋" w:cs="仿宋"/>
          <w:color w:val="auto"/>
          <w:kern w:val="0"/>
          <w:szCs w:val="28"/>
          <w:highlight w:val="none"/>
        </w:rPr>
        <w:t xml:space="preserve">）合同生效条款由供需双方约定，法律、行政法规规定应当办理批准、登记等手续后生效的合同，依照其规定。 </w:t>
      </w:r>
    </w:p>
    <w:p>
      <w:pPr>
        <w:spacing w:line="520" w:lineRule="exact"/>
        <w:ind w:firstLine="480" w:firstLineChars="200"/>
        <w:jc w:val="left"/>
        <w:rPr>
          <w:rFonts w:ascii="方正仿宋_GBK" w:hAnsi="仿宋" w:eastAsia="仿宋" w:cs="仿宋"/>
          <w:color w:val="auto"/>
          <w:kern w:val="0"/>
          <w:szCs w:val="28"/>
          <w:highlight w:val="none"/>
        </w:rPr>
      </w:pPr>
      <w:bookmarkStart w:id="682" w:name="_Toc14780"/>
      <w:bookmarkStart w:id="683" w:name="_Toc466546934"/>
      <w:bookmarkStart w:id="684" w:name="_Toc23923"/>
      <w:bookmarkStart w:id="685" w:name="_Toc10523"/>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四</w:t>
      </w:r>
      <w:r>
        <w:rPr>
          <w:rFonts w:hint="eastAsia" w:ascii="方正仿宋_GBK" w:hAnsi="仿宋" w:eastAsia="仿宋" w:cs="仿宋"/>
          <w:color w:val="auto"/>
          <w:kern w:val="0"/>
          <w:szCs w:val="28"/>
          <w:highlight w:val="none"/>
        </w:rPr>
        <w:t>）采购人要求成交供应商提供履约保证金的，应当在</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文件中予以约定。成交供应商履约完毕后，采购人应按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文件及合同的约定无息退还其履约保证金。</w:t>
      </w:r>
    </w:p>
    <w:bookmarkEnd w:id="682"/>
    <w:bookmarkEnd w:id="683"/>
    <w:bookmarkEnd w:id="684"/>
    <w:bookmarkEnd w:id="685"/>
    <w:p>
      <w:pPr>
        <w:spacing w:line="520" w:lineRule="exact"/>
        <w:ind w:firstLine="480" w:firstLineChars="200"/>
        <w:jc w:val="left"/>
        <w:rPr>
          <w:rFonts w:ascii="方正仿宋_GBK" w:hAnsi="仿宋" w:eastAsia="仿宋" w:cs="仿宋"/>
          <w:color w:val="auto"/>
          <w:kern w:val="0"/>
          <w:szCs w:val="28"/>
          <w:highlight w:val="none"/>
        </w:rPr>
      </w:pPr>
    </w:p>
    <w:p>
      <w:pPr>
        <w:pStyle w:val="13"/>
        <w:numPr>
          <w:ilvl w:val="0"/>
          <w:numId w:val="0"/>
        </w:numPr>
        <w:spacing w:beforeLines="50" w:afterLines="50"/>
        <w:ind w:leftChars="0"/>
        <w:jc w:val="center"/>
        <w:outlineLvl w:val="0"/>
        <w:rPr>
          <w:rFonts w:eastAsia="方正小标宋简体"/>
          <w:color w:val="auto"/>
          <w:sz w:val="44"/>
          <w:szCs w:val="22"/>
          <w:highlight w:val="none"/>
        </w:rPr>
      </w:pPr>
      <w:bookmarkStart w:id="686" w:name="_Toc384905082"/>
      <w:bookmarkStart w:id="687" w:name="_Toc409189639"/>
      <w:bookmarkStart w:id="688" w:name="_Toc349562392"/>
      <w:bookmarkStart w:id="689" w:name="_Toc384905319"/>
      <w:bookmarkStart w:id="690" w:name="_Toc384905081"/>
      <w:bookmarkStart w:id="691" w:name="_Toc32194"/>
      <w:r>
        <w:rPr>
          <w:rFonts w:hint="eastAsia"/>
          <w:color w:val="auto"/>
          <w:highlight w:val="none"/>
        </w:rPr>
        <w:br w:type="page"/>
      </w:r>
      <w:bookmarkEnd w:id="686"/>
      <w:bookmarkEnd w:id="687"/>
      <w:bookmarkEnd w:id="688"/>
      <w:bookmarkEnd w:id="689"/>
      <w:bookmarkEnd w:id="690"/>
      <w:bookmarkEnd w:id="691"/>
      <w:bookmarkStart w:id="692" w:name="_Toc12406"/>
      <w:bookmarkStart w:id="693" w:name="_Toc26489"/>
      <w:bookmarkStart w:id="694" w:name="_Toc9038"/>
      <w:bookmarkStart w:id="695" w:name="_Toc11222"/>
      <w:bookmarkStart w:id="696" w:name="_Toc3297"/>
      <w:bookmarkStart w:id="697" w:name="_Toc7981"/>
      <w:bookmarkStart w:id="698" w:name="_Toc11597"/>
      <w:bookmarkStart w:id="699" w:name="_Toc24340"/>
      <w:bookmarkStart w:id="700" w:name="_Toc10685"/>
      <w:bookmarkStart w:id="701" w:name="_Toc29176"/>
      <w:bookmarkStart w:id="702" w:name="_Toc21704"/>
      <w:bookmarkStart w:id="703" w:name="_Toc14959"/>
      <w:bookmarkStart w:id="704" w:name="_Toc22502"/>
      <w:bookmarkStart w:id="705" w:name="_Toc16475"/>
      <w:bookmarkStart w:id="706" w:name="_Toc1222"/>
      <w:bookmarkStart w:id="707" w:name="_Toc15701"/>
      <w:bookmarkStart w:id="708" w:name="_Toc10604"/>
      <w:bookmarkStart w:id="709" w:name="_Toc31518"/>
      <w:bookmarkStart w:id="710" w:name="_Toc1418"/>
      <w:bookmarkStart w:id="711" w:name="_Toc48837332"/>
      <w:bookmarkStart w:id="712" w:name="_Toc14671"/>
      <w:bookmarkStart w:id="713" w:name="_Toc6389"/>
      <w:bookmarkStart w:id="714" w:name="_Toc62"/>
      <w:bookmarkStart w:id="715" w:name="_Toc18341"/>
      <w:bookmarkStart w:id="716" w:name="_Toc2784"/>
      <w:bookmarkStart w:id="717" w:name="_Toc27745"/>
      <w:bookmarkStart w:id="718" w:name="_Toc1397"/>
      <w:r>
        <w:rPr>
          <w:rFonts w:hint="eastAsia" w:eastAsia="方正小标宋简体"/>
          <w:color w:val="auto"/>
          <w:sz w:val="44"/>
          <w:szCs w:val="22"/>
          <w:highlight w:val="none"/>
          <w:lang w:eastAsia="zh-CN"/>
        </w:rPr>
        <w:t>第六篇</w:t>
      </w:r>
      <w:r>
        <w:rPr>
          <w:rFonts w:hint="eastAsia" w:eastAsia="方正小标宋简体"/>
          <w:color w:val="auto"/>
          <w:sz w:val="44"/>
          <w:szCs w:val="22"/>
          <w:highlight w:val="none"/>
          <w:lang w:val="en-US" w:eastAsia="zh-CN"/>
        </w:rPr>
        <w:t xml:space="preserve"> </w:t>
      </w:r>
      <w:r>
        <w:rPr>
          <w:rFonts w:hint="eastAsia" w:eastAsia="方正小标宋简体"/>
          <w:color w:val="auto"/>
          <w:sz w:val="44"/>
          <w:szCs w:val="22"/>
          <w:highlight w:val="none"/>
        </w:rPr>
        <w:t>响应文件编制要求</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spacing w:line="520" w:lineRule="exact"/>
        <w:jc w:val="center"/>
        <w:rPr>
          <w:rFonts w:hint="eastAsia" w:ascii="方正仿宋_GBK" w:hAnsi="仿宋" w:eastAsia="仿宋" w:cs="仿宋"/>
          <w:b/>
          <w:bCs/>
          <w:color w:val="auto"/>
          <w:kern w:val="0"/>
          <w:szCs w:val="28"/>
          <w:highlight w:val="none"/>
          <w:lang w:eastAsia="zh-CN"/>
        </w:rPr>
      </w:pPr>
      <w:bookmarkStart w:id="719" w:name="_Toc6266"/>
      <w:r>
        <w:rPr>
          <w:rFonts w:hint="eastAsia" w:ascii="方正仿宋_GBK" w:hAnsi="仿宋" w:eastAsia="仿宋" w:cs="仿宋"/>
          <w:color w:val="auto"/>
          <w:kern w:val="0"/>
          <w:szCs w:val="28"/>
          <w:highlight w:val="none"/>
        </w:rPr>
        <w:t>（请按本篇要求提供，但不限于以下格式内容）</w:t>
      </w:r>
      <w:bookmarkEnd w:id="719"/>
      <w:bookmarkStart w:id="720" w:name="_Toc24945"/>
      <w:bookmarkStart w:id="721" w:name="_Toc20689"/>
      <w:bookmarkStart w:id="722" w:name="_Toc19046"/>
      <w:bookmarkStart w:id="723" w:name="_Toc6158"/>
      <w:bookmarkStart w:id="724" w:name="_Toc22325"/>
      <w:bookmarkStart w:id="725" w:name="_Toc23423"/>
      <w:bookmarkStart w:id="726" w:name="_Toc8433"/>
      <w:bookmarkStart w:id="727" w:name="_Toc2401"/>
      <w:bookmarkStart w:id="728" w:name="_Toc18828"/>
      <w:bookmarkStart w:id="729" w:name="_Toc31702"/>
      <w:bookmarkStart w:id="730" w:name="_Toc20288"/>
      <w:bookmarkStart w:id="731" w:name="_Toc969"/>
    </w:p>
    <w:p>
      <w:pPr>
        <w:spacing w:line="520" w:lineRule="exact"/>
        <w:ind w:firstLine="482" w:firstLineChars="200"/>
        <w:jc w:val="left"/>
        <w:rPr>
          <w:rFonts w:ascii="方正仿宋_GBK" w:hAnsi="仿宋" w:eastAsia="仿宋" w:cs="仿宋"/>
          <w:b/>
          <w:bCs/>
          <w:color w:val="auto"/>
          <w:kern w:val="0"/>
          <w:szCs w:val="28"/>
          <w:highlight w:val="none"/>
        </w:rPr>
      </w:pPr>
      <w:r>
        <w:rPr>
          <w:rFonts w:hint="eastAsia" w:ascii="方正仿宋_GBK" w:hAnsi="仿宋" w:eastAsia="仿宋" w:cs="仿宋"/>
          <w:b/>
          <w:bCs/>
          <w:color w:val="auto"/>
          <w:kern w:val="0"/>
          <w:szCs w:val="28"/>
          <w:highlight w:val="none"/>
          <w:lang w:eastAsia="zh-CN"/>
        </w:rPr>
        <w:t>一</w:t>
      </w:r>
      <w:r>
        <w:rPr>
          <w:rFonts w:hint="eastAsia" w:ascii="方正仿宋_GBK" w:hAnsi="仿宋" w:eastAsia="仿宋" w:cs="仿宋"/>
          <w:b/>
          <w:bCs/>
          <w:color w:val="auto"/>
          <w:kern w:val="0"/>
          <w:szCs w:val="28"/>
          <w:highlight w:val="none"/>
        </w:rPr>
        <w:t>、服务部分</w:t>
      </w:r>
      <w:bookmarkEnd w:id="720"/>
      <w:bookmarkEnd w:id="721"/>
      <w:bookmarkEnd w:id="722"/>
      <w:bookmarkEnd w:id="723"/>
      <w:bookmarkEnd w:id="724"/>
      <w:bookmarkEnd w:id="725"/>
      <w:bookmarkEnd w:id="726"/>
      <w:bookmarkEnd w:id="727"/>
      <w:bookmarkEnd w:id="728"/>
      <w:bookmarkEnd w:id="729"/>
      <w:bookmarkEnd w:id="730"/>
      <w:bookmarkEnd w:id="731"/>
    </w:p>
    <w:p>
      <w:pPr>
        <w:spacing w:line="520" w:lineRule="exact"/>
        <w:ind w:firstLine="480" w:firstLineChars="200"/>
        <w:jc w:val="left"/>
        <w:rPr>
          <w:rFonts w:ascii="方正仿宋_GBK" w:hAnsi="仿宋" w:eastAsia="仿宋" w:cs="仿宋"/>
          <w:color w:val="auto"/>
          <w:kern w:val="0"/>
          <w:szCs w:val="28"/>
          <w:highlight w:val="none"/>
        </w:rPr>
      </w:pPr>
      <w:bookmarkStart w:id="732" w:name="_Toc15365"/>
      <w:bookmarkStart w:id="733" w:name="_Toc20631"/>
      <w:bookmarkStart w:id="734" w:name="_Toc28516"/>
      <w:bookmarkStart w:id="735" w:name="_Toc16158"/>
      <w:bookmarkStart w:id="736" w:name="_Toc21499"/>
      <w:bookmarkStart w:id="737" w:name="_Toc30039"/>
      <w:bookmarkStart w:id="738" w:name="_Toc13997"/>
      <w:bookmarkStart w:id="739" w:name="_Toc29524"/>
      <w:bookmarkStart w:id="740" w:name="_Toc25754"/>
      <w:bookmarkStart w:id="741" w:name="_Toc1765"/>
      <w:bookmarkStart w:id="742" w:name="_Toc14173"/>
      <w:bookmarkStart w:id="743" w:name="_Toc30337"/>
      <w:r>
        <w:rPr>
          <w:rFonts w:hint="eastAsia" w:ascii="方正仿宋_GBK" w:hAnsi="仿宋" w:eastAsia="仿宋" w:cs="仿宋"/>
          <w:color w:val="auto"/>
          <w:kern w:val="0"/>
          <w:szCs w:val="28"/>
          <w:highlight w:val="none"/>
        </w:rPr>
        <w:t>（一）服务响应差异表</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文件第二篇所需方案或证明材料（如果有）</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文件第四篇评审标准“</w:t>
      </w:r>
      <w:r>
        <w:rPr>
          <w:rFonts w:hint="eastAsia" w:ascii="方正仿宋_GBK" w:hAnsi="仿宋" w:eastAsia="仿宋" w:cs="仿宋"/>
          <w:color w:val="auto"/>
          <w:kern w:val="0"/>
          <w:szCs w:val="28"/>
          <w:highlight w:val="none"/>
          <w:lang w:eastAsia="zh-CN"/>
        </w:rPr>
        <w:t>技术</w:t>
      </w:r>
      <w:r>
        <w:rPr>
          <w:rFonts w:hint="eastAsia" w:ascii="方正仿宋_GBK" w:hAnsi="仿宋" w:eastAsia="仿宋" w:cs="仿宋"/>
          <w:color w:val="auto"/>
          <w:kern w:val="0"/>
          <w:szCs w:val="28"/>
          <w:highlight w:val="none"/>
        </w:rPr>
        <w:t>部分”所要求的方案或证明材料</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（四）其他响应</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文件提供的服务文件</w:t>
      </w:r>
    </w:p>
    <w:p>
      <w:pPr>
        <w:spacing w:line="520" w:lineRule="exact"/>
        <w:ind w:firstLine="482" w:firstLineChars="200"/>
        <w:jc w:val="left"/>
        <w:rPr>
          <w:rFonts w:ascii="方正仿宋_GBK" w:hAnsi="仿宋" w:eastAsia="仿宋" w:cs="仿宋"/>
          <w:b/>
          <w:bCs/>
          <w:color w:val="auto"/>
          <w:kern w:val="0"/>
          <w:szCs w:val="28"/>
          <w:highlight w:val="none"/>
        </w:rPr>
      </w:pPr>
      <w:r>
        <w:rPr>
          <w:rFonts w:hint="eastAsia" w:ascii="方正仿宋_GBK" w:hAnsi="仿宋" w:eastAsia="仿宋" w:cs="仿宋"/>
          <w:b/>
          <w:bCs/>
          <w:color w:val="auto"/>
          <w:kern w:val="0"/>
          <w:szCs w:val="28"/>
          <w:highlight w:val="none"/>
          <w:lang w:eastAsia="zh-CN"/>
        </w:rPr>
        <w:t>二</w:t>
      </w:r>
      <w:r>
        <w:rPr>
          <w:rFonts w:hint="eastAsia" w:ascii="方正仿宋_GBK" w:hAnsi="仿宋" w:eastAsia="仿宋" w:cs="仿宋"/>
          <w:b/>
          <w:bCs/>
          <w:color w:val="auto"/>
          <w:kern w:val="0"/>
          <w:szCs w:val="28"/>
          <w:highlight w:val="none"/>
        </w:rPr>
        <w:t>、商务部分</w:t>
      </w:r>
      <w:bookmarkEnd w:id="732"/>
      <w:bookmarkEnd w:id="733"/>
      <w:bookmarkEnd w:id="734"/>
      <w:bookmarkEnd w:id="735"/>
      <w:bookmarkEnd w:id="736"/>
      <w:bookmarkEnd w:id="737"/>
      <w:bookmarkEnd w:id="738"/>
      <w:bookmarkEnd w:id="739"/>
      <w:bookmarkEnd w:id="740"/>
      <w:bookmarkEnd w:id="741"/>
      <w:bookmarkEnd w:id="742"/>
      <w:bookmarkEnd w:id="743"/>
    </w:p>
    <w:p>
      <w:pPr>
        <w:spacing w:line="520" w:lineRule="exact"/>
        <w:ind w:firstLine="480" w:firstLineChars="200"/>
        <w:jc w:val="left"/>
        <w:rPr>
          <w:rFonts w:ascii="方正仿宋_GBK" w:hAnsi="仿宋" w:eastAsia="仿宋" w:cs="仿宋"/>
          <w:color w:val="auto"/>
          <w:kern w:val="0"/>
          <w:szCs w:val="28"/>
          <w:highlight w:val="none"/>
        </w:rPr>
      </w:pPr>
      <w:bookmarkStart w:id="744" w:name="_Toc29770"/>
      <w:bookmarkStart w:id="745" w:name="_Toc30328"/>
      <w:bookmarkStart w:id="746" w:name="_Toc17364"/>
      <w:bookmarkStart w:id="747" w:name="_Toc15693"/>
      <w:bookmarkStart w:id="748" w:name="_Toc29922"/>
      <w:bookmarkStart w:id="749" w:name="_Toc12818"/>
      <w:bookmarkStart w:id="750" w:name="_Toc28208"/>
      <w:bookmarkStart w:id="751" w:name="_Toc2821"/>
      <w:bookmarkStart w:id="752" w:name="_Toc30182"/>
      <w:bookmarkStart w:id="753" w:name="_Toc26230"/>
      <w:bookmarkStart w:id="754" w:name="_Toc20217"/>
      <w:bookmarkStart w:id="755" w:name="_Toc12483"/>
      <w:r>
        <w:rPr>
          <w:rFonts w:hint="eastAsia" w:ascii="方正仿宋_GBK" w:hAnsi="仿宋" w:eastAsia="仿宋" w:cs="仿宋"/>
          <w:color w:val="auto"/>
          <w:kern w:val="0"/>
          <w:szCs w:val="28"/>
          <w:highlight w:val="none"/>
        </w:rPr>
        <w:t>（一）商务响应差异表</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文件第三篇所需证明材料（如果有）</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文件第四篇评审标准“商务部分”所要求的证明材料</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（四）其他响应</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文件提供的商务文件</w:t>
      </w:r>
    </w:p>
    <w:bookmarkEnd w:id="744"/>
    <w:bookmarkEnd w:id="745"/>
    <w:bookmarkEnd w:id="746"/>
    <w:bookmarkEnd w:id="747"/>
    <w:bookmarkEnd w:id="748"/>
    <w:bookmarkEnd w:id="749"/>
    <w:bookmarkEnd w:id="750"/>
    <w:bookmarkEnd w:id="751"/>
    <w:bookmarkEnd w:id="752"/>
    <w:bookmarkEnd w:id="753"/>
    <w:bookmarkEnd w:id="754"/>
    <w:bookmarkEnd w:id="755"/>
    <w:p>
      <w:pPr>
        <w:spacing w:line="520" w:lineRule="exact"/>
        <w:ind w:firstLine="482" w:firstLineChars="200"/>
        <w:jc w:val="left"/>
        <w:rPr>
          <w:rFonts w:ascii="方正仿宋_GBK" w:hAnsi="仿宋" w:eastAsia="仿宋" w:cs="仿宋"/>
          <w:b/>
          <w:bCs/>
          <w:color w:val="auto"/>
          <w:kern w:val="0"/>
          <w:szCs w:val="28"/>
          <w:highlight w:val="none"/>
        </w:rPr>
      </w:pPr>
      <w:bookmarkStart w:id="756" w:name="_Toc13708"/>
      <w:bookmarkStart w:id="757" w:name="_Toc27529"/>
      <w:bookmarkStart w:id="758" w:name="_Toc27590"/>
      <w:bookmarkStart w:id="759" w:name="_Toc18716"/>
      <w:bookmarkStart w:id="760" w:name="_Toc16026"/>
      <w:bookmarkStart w:id="761" w:name="_Toc1848"/>
      <w:bookmarkStart w:id="762" w:name="_Toc28176"/>
      <w:bookmarkStart w:id="763" w:name="_Toc29479"/>
      <w:bookmarkStart w:id="764" w:name="_Toc16187"/>
      <w:bookmarkStart w:id="765" w:name="_Toc12300"/>
      <w:bookmarkStart w:id="766" w:name="_Toc17752"/>
      <w:bookmarkStart w:id="767" w:name="_Toc3091"/>
      <w:r>
        <w:rPr>
          <w:rFonts w:hint="eastAsia" w:ascii="方正仿宋_GBK" w:hAnsi="仿宋" w:eastAsia="仿宋" w:cs="仿宋"/>
          <w:b/>
          <w:bCs/>
          <w:color w:val="auto"/>
          <w:kern w:val="0"/>
          <w:szCs w:val="28"/>
          <w:highlight w:val="none"/>
          <w:lang w:eastAsia="zh-CN"/>
        </w:rPr>
        <w:t>三</w:t>
      </w:r>
      <w:r>
        <w:rPr>
          <w:rFonts w:hint="eastAsia" w:ascii="方正仿宋_GBK" w:hAnsi="仿宋" w:eastAsia="仿宋" w:cs="仿宋"/>
          <w:b/>
          <w:bCs/>
          <w:color w:val="auto"/>
          <w:kern w:val="0"/>
          <w:szCs w:val="28"/>
          <w:highlight w:val="none"/>
        </w:rPr>
        <w:t>、资格</w:t>
      </w:r>
      <w:bookmarkEnd w:id="756"/>
      <w:r>
        <w:rPr>
          <w:rFonts w:hint="eastAsia" w:ascii="方正仿宋_GBK" w:hAnsi="仿宋" w:eastAsia="仿宋" w:cs="仿宋"/>
          <w:b/>
          <w:bCs/>
          <w:color w:val="auto"/>
          <w:kern w:val="0"/>
          <w:szCs w:val="28"/>
          <w:highlight w:val="none"/>
        </w:rPr>
        <w:t>文件</w:t>
      </w:r>
      <w:bookmarkEnd w:id="757"/>
      <w:bookmarkEnd w:id="758"/>
      <w:bookmarkEnd w:id="759"/>
      <w:bookmarkEnd w:id="760"/>
      <w:bookmarkEnd w:id="761"/>
      <w:bookmarkEnd w:id="762"/>
      <w:bookmarkEnd w:id="763"/>
      <w:bookmarkEnd w:id="764"/>
      <w:bookmarkEnd w:id="765"/>
      <w:bookmarkEnd w:id="766"/>
      <w:bookmarkEnd w:id="767"/>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（一）法人营业执照（副本）或事业单位法人证书（副本）或个体工商户营业执照或有效的自然人身份证明或社会团体法人登记证书复印件</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（二）法定代表人身份证明书（格式）</w:t>
      </w:r>
    </w:p>
    <w:p>
      <w:pPr>
        <w:spacing w:line="520" w:lineRule="exact"/>
        <w:ind w:firstLine="480"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（三）法定代表人授权委托书（格式）</w:t>
      </w:r>
    </w:p>
    <w:p>
      <w:pPr>
        <w:spacing w:line="520" w:lineRule="exact"/>
        <w:ind w:firstLine="480"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（四）基本资格条件承诺函（格式）</w:t>
      </w:r>
    </w:p>
    <w:p>
      <w:pPr>
        <w:spacing w:line="520" w:lineRule="exact"/>
        <w:ind w:firstLine="480" w:firstLineChars="20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（五）如为授权代表参加遴选的，还需提供该项目授权代表近三个月缴纳社会保险参保证明。</w:t>
      </w:r>
    </w:p>
    <w:p>
      <w:pPr>
        <w:spacing w:line="520" w:lineRule="exact"/>
        <w:ind w:firstLine="480" w:firstLineChars="200"/>
        <w:jc w:val="left"/>
        <w:rPr>
          <w:rFonts w:hint="eastAsia" w:ascii="方正仿宋_GBK" w:hAnsi="仿宋" w:eastAsia="仿宋" w:cs="仿宋"/>
          <w:color w:val="auto"/>
          <w:kern w:val="0"/>
          <w:szCs w:val="28"/>
          <w:highlight w:val="none"/>
          <w:lang w:val="en-US" w:eastAsia="zh-CN"/>
        </w:rPr>
      </w:pPr>
      <w:r>
        <w:rPr>
          <w:rFonts w:hint="eastAsia" w:ascii="方正仿宋_GBK" w:hAnsi="仿宋" w:eastAsia="仿宋" w:cs="仿宋"/>
          <w:color w:val="auto"/>
          <w:kern w:val="0"/>
          <w:szCs w:val="28"/>
          <w:highlight w:val="none"/>
          <w:lang w:val="en-US" w:eastAsia="zh-CN"/>
        </w:rPr>
        <w:t>（六）特定资格条件证书或证明文件</w:t>
      </w:r>
    </w:p>
    <w:p>
      <w:pPr>
        <w:spacing w:line="520" w:lineRule="exact"/>
        <w:ind w:firstLine="480" w:firstLineChars="200"/>
        <w:jc w:val="left"/>
        <w:rPr>
          <w:rFonts w:ascii="仿宋" w:hAnsi="仿宋" w:eastAsia="仿宋"/>
          <w:color w:val="auto"/>
          <w:sz w:val="24"/>
          <w:szCs w:val="28"/>
          <w:highlight w:val="none"/>
        </w:rPr>
        <w:sectPr>
          <w:headerReference r:id="rId7" w:type="default"/>
          <w:pgSz w:w="11907" w:h="16840"/>
          <w:pgMar w:top="1134" w:right="1191" w:bottom="1134" w:left="1304" w:header="851" w:footer="992" w:gutter="0"/>
          <w:pgBorders>
            <w:top w:val="none" w:sz="0" w:space="0"/>
            <w:left w:val="none" w:sz="0" w:space="0"/>
            <w:bottom w:val="none" w:sz="0" w:space="0"/>
            <w:right w:val="none" w:sz="0" w:space="0"/>
          </w:pgBorders>
          <w:pgNumType w:fmt="decimal"/>
          <w:cols w:space="720" w:num="1"/>
          <w:docGrid w:linePitch="380" w:charSpace="-5735"/>
        </w:sectPr>
      </w:pPr>
      <w:r>
        <w:rPr>
          <w:rFonts w:hint="eastAsia" w:ascii="方正仿宋_GBK" w:hAnsi="仿宋" w:eastAsia="仿宋" w:cs="仿宋"/>
          <w:color w:val="auto"/>
          <w:kern w:val="0"/>
          <w:szCs w:val="28"/>
          <w:highlight w:val="none"/>
          <w:lang w:val="en-US" w:eastAsia="zh-CN"/>
        </w:rPr>
        <w:t>说明：供应商按“多证合一”登记制度办理营业执照的，税务登记证（副本）和社会保险登记证以供应商所提供的法人营业执照（副本）复印件为准。</w:t>
      </w:r>
      <w:bookmarkStart w:id="768" w:name="_Toc9141"/>
      <w:bookmarkStart w:id="769" w:name="_Toc166"/>
      <w:bookmarkStart w:id="770" w:name="_Toc26656"/>
      <w:bookmarkStart w:id="771" w:name="_Toc16499"/>
      <w:bookmarkStart w:id="772" w:name="_Toc25703"/>
      <w:bookmarkStart w:id="773" w:name="_Toc17120"/>
      <w:bookmarkStart w:id="774" w:name="_Toc24441"/>
      <w:bookmarkStart w:id="775" w:name="_Toc3620"/>
      <w:bookmarkStart w:id="776" w:name="_Toc12729"/>
      <w:bookmarkStart w:id="777" w:name="_Toc8363"/>
      <w:bookmarkStart w:id="778" w:name="_Toc5052"/>
      <w:bookmarkStart w:id="779" w:name="_Toc20381"/>
      <w:bookmarkStart w:id="780" w:name="_Toc19211"/>
      <w:bookmarkStart w:id="781" w:name="_Toc29192"/>
      <w:bookmarkStart w:id="782" w:name="_Toc48837334"/>
      <w:bookmarkStart w:id="783" w:name="_Toc20747"/>
      <w:bookmarkStart w:id="784" w:name="_Toc11931"/>
      <w:bookmarkStart w:id="785" w:name="_Toc23128"/>
      <w:bookmarkStart w:id="786" w:name="_Toc19026"/>
      <w:bookmarkStart w:id="787" w:name="_Toc14882"/>
      <w:bookmarkStart w:id="788" w:name="_Toc27814"/>
      <w:bookmarkStart w:id="789" w:name="_Toc22054"/>
      <w:bookmarkStart w:id="790" w:name="_Toc31684"/>
      <w:bookmarkStart w:id="791" w:name="_Toc161727398"/>
    </w:p>
    <w:p>
      <w:pPr>
        <w:spacing w:line="520" w:lineRule="exact"/>
        <w:jc w:val="left"/>
        <w:outlineLvl w:val="1"/>
        <w:rPr>
          <w:rFonts w:hint="eastAsia" w:ascii="方正仿宋_GBK" w:hAnsi="仿宋" w:eastAsia="仿宋" w:cs="仿宋"/>
          <w:b/>
          <w:bCs/>
          <w:color w:val="auto"/>
          <w:kern w:val="0"/>
          <w:szCs w:val="28"/>
          <w:highlight w:val="none"/>
        </w:rPr>
      </w:pPr>
      <w:bookmarkStart w:id="792" w:name="_Toc19311"/>
      <w:bookmarkStart w:id="793" w:name="_Toc2481"/>
      <w:bookmarkStart w:id="794" w:name="_Toc14874"/>
      <w:bookmarkStart w:id="795" w:name="_Toc24967"/>
    </w:p>
    <w:p>
      <w:pPr>
        <w:spacing w:line="520" w:lineRule="exact"/>
        <w:ind w:firstLine="482" w:firstLineChars="200"/>
        <w:jc w:val="left"/>
        <w:outlineLvl w:val="1"/>
        <w:rPr>
          <w:rFonts w:ascii="方正仿宋_GBK" w:hAnsi="仿宋" w:eastAsia="仿宋" w:cs="仿宋"/>
          <w:b/>
          <w:bCs/>
          <w:color w:val="auto"/>
          <w:kern w:val="0"/>
          <w:szCs w:val="28"/>
          <w:highlight w:val="none"/>
        </w:rPr>
      </w:pPr>
      <w:r>
        <w:rPr>
          <w:rFonts w:hint="eastAsia" w:ascii="方正仿宋_GBK" w:hAnsi="仿宋" w:eastAsia="仿宋" w:cs="仿宋"/>
          <w:b/>
          <w:bCs/>
          <w:color w:val="auto"/>
          <w:kern w:val="0"/>
          <w:szCs w:val="28"/>
          <w:highlight w:val="none"/>
          <w:lang w:eastAsia="zh-CN"/>
        </w:rPr>
        <w:t>一</w:t>
      </w:r>
      <w:r>
        <w:rPr>
          <w:rFonts w:hint="eastAsia" w:ascii="方正仿宋_GBK" w:hAnsi="仿宋" w:eastAsia="仿宋" w:cs="仿宋"/>
          <w:b/>
          <w:bCs/>
          <w:color w:val="auto"/>
          <w:kern w:val="0"/>
          <w:szCs w:val="28"/>
          <w:highlight w:val="none"/>
        </w:rPr>
        <w:t>、服务部分</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2"/>
      <w:bookmarkEnd w:id="793"/>
      <w:bookmarkEnd w:id="794"/>
      <w:bookmarkEnd w:id="795"/>
    </w:p>
    <w:p>
      <w:pPr>
        <w:spacing w:line="520" w:lineRule="exact"/>
        <w:ind w:firstLine="480" w:firstLineChars="200"/>
        <w:jc w:val="left"/>
        <w:rPr>
          <w:rFonts w:ascii="仿宋" w:hAnsi="仿宋" w:eastAsia="仿宋" w:cs="仿宋"/>
          <w:color w:val="auto"/>
          <w:szCs w:val="22"/>
          <w:highlight w:val="none"/>
        </w:rPr>
      </w:pPr>
      <w:r>
        <w:rPr>
          <w:rFonts w:hint="eastAsia" w:ascii="方正仿宋_GBK" w:hAnsi="仿宋" w:eastAsia="仿宋" w:cs="仿宋"/>
          <w:color w:val="auto"/>
          <w:kern w:val="0"/>
          <w:szCs w:val="28"/>
          <w:highlight w:val="none"/>
        </w:rPr>
        <w:t>（一）</w:t>
      </w:r>
      <w:bookmarkStart w:id="796" w:name="_Hlk84672559"/>
      <w:r>
        <w:rPr>
          <w:rFonts w:hint="eastAsia" w:ascii="仿宋" w:hAnsi="仿宋" w:eastAsia="仿宋" w:cs="仿宋"/>
          <w:color w:val="auto"/>
          <w:szCs w:val="22"/>
          <w:highlight w:val="none"/>
        </w:rPr>
        <w:t>服务响应差异表</w:t>
      </w:r>
      <w:bookmarkEnd w:id="796"/>
    </w:p>
    <w:p>
      <w:pPr>
        <w:pStyle w:val="13"/>
        <w:spacing w:line="520" w:lineRule="exact"/>
        <w:jc w:val="center"/>
        <w:rPr>
          <w:rFonts w:ascii="仿宋" w:hAnsi="仿宋" w:eastAsia="仿宋"/>
          <w:b/>
          <w:bCs/>
          <w:color w:val="auto"/>
          <w:sz w:val="28"/>
          <w:szCs w:val="28"/>
          <w:highlight w:val="none"/>
        </w:rPr>
      </w:pPr>
      <w:bookmarkStart w:id="797" w:name="_Hlk84947197"/>
      <w:r>
        <w:rPr>
          <w:rFonts w:hint="eastAsia" w:ascii="仿宋" w:hAnsi="仿宋" w:eastAsia="仿宋" w:cs="仿宋"/>
          <w:b/>
          <w:bCs/>
          <w:color w:val="auto"/>
          <w:sz w:val="28"/>
          <w:szCs w:val="28"/>
          <w:highlight w:val="none"/>
        </w:rPr>
        <w:t>服务响应差异表</w:t>
      </w:r>
    </w:p>
    <w:p>
      <w:pPr>
        <w:pStyle w:val="13"/>
        <w:spacing w:line="52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项 目 号：</w:t>
      </w:r>
    </w:p>
    <w:p>
      <w:pPr>
        <w:pStyle w:val="13"/>
        <w:spacing w:line="52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项目名称：</w:t>
      </w:r>
    </w:p>
    <w:tbl>
      <w:tblPr>
        <w:tblStyle w:val="24"/>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216"/>
        <w:gridCol w:w="3217"/>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854"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序号</w:t>
            </w:r>
          </w:p>
        </w:tc>
        <w:tc>
          <w:tcPr>
            <w:tcW w:w="3216"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采购需求</w:t>
            </w:r>
          </w:p>
        </w:tc>
        <w:tc>
          <w:tcPr>
            <w:tcW w:w="3217"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响应应答</w:t>
            </w:r>
          </w:p>
        </w:tc>
        <w:tc>
          <w:tcPr>
            <w:tcW w:w="1314"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提醒：请注明具体内容以及响应文件中具体内容的位置（页码）</w:t>
            </w: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bl>
    <w:p>
      <w:pPr>
        <w:pStyle w:val="13"/>
        <w:rPr>
          <w:rFonts w:ascii="仿宋" w:hAnsi="仿宋" w:eastAsia="仿宋"/>
          <w:color w:val="auto"/>
          <w:sz w:val="24"/>
          <w:szCs w:val="28"/>
          <w:highlight w:val="none"/>
        </w:rPr>
      </w:pPr>
    </w:p>
    <w:p>
      <w:pPr>
        <w:pStyle w:val="13"/>
        <w:spacing w:line="52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供应商：                  法定代表人（或法定代表人授权代表）或自然人：</w:t>
      </w:r>
    </w:p>
    <w:p>
      <w:pPr>
        <w:pStyle w:val="13"/>
        <w:spacing w:line="52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（供应商公章）</w:t>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（签署或盖章）</w:t>
      </w:r>
    </w:p>
    <w:p>
      <w:pPr>
        <w:pStyle w:val="13"/>
        <w:spacing w:line="520" w:lineRule="exact"/>
        <w:ind w:firstLine="480"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 xml:space="preserve"> 年   月   日 </w:t>
      </w:r>
    </w:p>
    <w:p>
      <w:pPr>
        <w:pStyle w:val="13"/>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 w:hAnsi="仿宋" w:eastAsia="仿宋"/>
          <w:color w:val="auto"/>
          <w:sz w:val="24"/>
          <w:szCs w:val="28"/>
          <w:highlight w:val="none"/>
        </w:rPr>
      </w:pPr>
      <w:r>
        <w:rPr>
          <w:rFonts w:hint="eastAsia" w:ascii="仿宋" w:hAnsi="仿宋" w:eastAsia="仿宋"/>
          <w:color w:val="auto"/>
          <w:sz w:val="24"/>
          <w:szCs w:val="28"/>
          <w:highlight w:val="none"/>
        </w:rPr>
        <w:t>注：</w:t>
      </w:r>
    </w:p>
    <w:p>
      <w:pPr>
        <w:pStyle w:val="13"/>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 w:hAnsi="仿宋" w:eastAsia="仿宋"/>
          <w:color w:val="auto"/>
          <w:sz w:val="24"/>
          <w:szCs w:val="28"/>
          <w:highlight w:val="none"/>
        </w:rPr>
      </w:pPr>
      <w:r>
        <w:rPr>
          <w:rFonts w:hint="eastAsia" w:ascii="仿宋" w:hAnsi="仿宋" w:eastAsia="仿宋"/>
          <w:color w:val="auto"/>
          <w:sz w:val="24"/>
          <w:szCs w:val="28"/>
          <w:highlight w:val="none"/>
        </w:rPr>
        <w:t xml:space="preserve">1.本表即为对本项目“第二篇  </w:t>
      </w:r>
      <w:r>
        <w:rPr>
          <w:rFonts w:hint="eastAsia" w:ascii="仿宋" w:hAnsi="仿宋" w:eastAsia="仿宋"/>
          <w:color w:val="auto"/>
          <w:sz w:val="24"/>
          <w:szCs w:val="28"/>
          <w:highlight w:val="none"/>
          <w:lang w:eastAsia="zh-CN"/>
        </w:rPr>
        <w:t>采购</w:t>
      </w:r>
      <w:r>
        <w:rPr>
          <w:rFonts w:hint="eastAsia" w:ascii="仿宋" w:hAnsi="仿宋" w:eastAsia="仿宋"/>
          <w:color w:val="auto"/>
          <w:sz w:val="24"/>
          <w:szCs w:val="28"/>
          <w:highlight w:val="none"/>
        </w:rPr>
        <w:t>服务要求”中所列条款进行比较和响应，应逐条如实填写，“响应应答”中必须列出具体数值或内容。如供应商未应答或只注明“符合”、“满足”等类似无具体数值或内容的表述，视为不满足对应条款；</w:t>
      </w:r>
    </w:p>
    <w:p>
      <w:pPr>
        <w:pStyle w:val="13"/>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 w:hAnsi="仿宋" w:eastAsia="仿宋"/>
          <w:color w:val="auto"/>
          <w:sz w:val="24"/>
          <w:szCs w:val="28"/>
          <w:highlight w:val="none"/>
        </w:rPr>
      </w:pPr>
      <w:r>
        <w:rPr>
          <w:rFonts w:hint="eastAsia" w:ascii="仿宋" w:hAnsi="仿宋" w:eastAsia="仿宋"/>
          <w:color w:val="auto"/>
          <w:sz w:val="24"/>
          <w:szCs w:val="28"/>
          <w:highlight w:val="none"/>
        </w:rPr>
        <w:t>2.该表必须按照</w:t>
      </w:r>
      <w:r>
        <w:rPr>
          <w:rFonts w:hint="eastAsia" w:ascii="仿宋" w:hAnsi="仿宋" w:eastAsia="仿宋"/>
          <w:color w:val="auto"/>
          <w:sz w:val="24"/>
          <w:szCs w:val="28"/>
          <w:highlight w:val="none"/>
          <w:lang w:eastAsia="zh-CN"/>
        </w:rPr>
        <w:t>遴选</w:t>
      </w:r>
      <w:r>
        <w:rPr>
          <w:rFonts w:hint="eastAsia" w:ascii="仿宋" w:hAnsi="仿宋" w:eastAsia="仿宋"/>
          <w:color w:val="auto"/>
          <w:sz w:val="24"/>
          <w:szCs w:val="28"/>
          <w:highlight w:val="none"/>
        </w:rPr>
        <w:t>文件要求逐条如实填写，根据响应情况在“差异说明”项填写正偏离或负偏离及原因，完全符合的填写“无差异”；</w:t>
      </w:r>
    </w:p>
    <w:p>
      <w:pPr>
        <w:pStyle w:val="13"/>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 w:hAnsi="仿宋" w:eastAsia="仿宋"/>
          <w:color w:val="auto"/>
          <w:sz w:val="24"/>
          <w:szCs w:val="28"/>
          <w:highlight w:val="none"/>
        </w:rPr>
      </w:pPr>
      <w:r>
        <w:rPr>
          <w:rFonts w:hint="eastAsia" w:ascii="仿宋" w:hAnsi="仿宋" w:eastAsia="仿宋"/>
          <w:color w:val="auto"/>
          <w:sz w:val="24"/>
          <w:szCs w:val="28"/>
          <w:highlight w:val="none"/>
        </w:rPr>
        <w:t>3.该表可扩展；</w:t>
      </w:r>
    </w:p>
    <w:p>
      <w:pPr>
        <w:pStyle w:val="13"/>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ascii="仿宋" w:hAnsi="仿宋" w:eastAsia="仿宋"/>
          <w:color w:val="auto"/>
          <w:sz w:val="24"/>
          <w:szCs w:val="28"/>
          <w:highlight w:val="none"/>
        </w:rPr>
        <w:sectPr>
          <w:pgSz w:w="11907" w:h="16840"/>
          <w:pgMar w:top="1134" w:right="1191" w:bottom="1134" w:left="1304" w:header="794" w:footer="992" w:gutter="0"/>
          <w:pgBorders>
            <w:top w:val="none" w:sz="0" w:space="0"/>
            <w:left w:val="none" w:sz="0" w:space="0"/>
            <w:bottom w:val="none" w:sz="0" w:space="0"/>
            <w:right w:val="none" w:sz="0" w:space="0"/>
          </w:pgBorders>
          <w:pgNumType w:fmt="decimal"/>
          <w:cols w:space="720" w:num="1"/>
          <w:docGrid w:type="lines" w:linePitch="380" w:charSpace="-5735"/>
        </w:sectPr>
      </w:pPr>
      <w:r>
        <w:rPr>
          <w:rFonts w:hint="eastAsia" w:ascii="仿宋" w:hAnsi="仿宋" w:eastAsia="仿宋"/>
          <w:color w:val="auto"/>
          <w:sz w:val="24"/>
          <w:szCs w:val="28"/>
          <w:highlight w:val="none"/>
        </w:rPr>
        <w:t>4.可附相关技术支撑材料（格式自定）。</w:t>
      </w:r>
      <w:bookmarkEnd w:id="797"/>
    </w:p>
    <w:p>
      <w:pPr>
        <w:pStyle w:val="13"/>
        <w:rPr>
          <w:color w:val="auto"/>
          <w:highlight w:val="none"/>
        </w:rPr>
      </w:pPr>
    </w:p>
    <w:p>
      <w:pPr>
        <w:spacing w:line="520" w:lineRule="exact"/>
        <w:ind w:firstLine="438" w:firstLineChars="200"/>
        <w:jc w:val="left"/>
        <w:rPr>
          <w:rFonts w:ascii="方正仿宋_GBK" w:hAnsi="仿宋" w:eastAsia="仿宋" w:cs="仿宋"/>
          <w:color w:val="auto"/>
          <w:kern w:val="0"/>
          <w:szCs w:val="28"/>
          <w:highlight w:val="none"/>
        </w:rPr>
      </w:pPr>
      <w:bookmarkStart w:id="798" w:name="_Toc15183"/>
      <w:bookmarkStart w:id="799" w:name="_Toc32284"/>
      <w:bookmarkStart w:id="800" w:name="_Toc12560"/>
      <w:bookmarkStart w:id="801" w:name="_Toc31094"/>
      <w:bookmarkStart w:id="802" w:name="_Toc14724"/>
      <w:bookmarkStart w:id="803" w:name="_Toc16645"/>
      <w:bookmarkStart w:id="804" w:name="_Toc14898"/>
      <w:bookmarkStart w:id="805" w:name="_Toc8882"/>
      <w:bookmarkStart w:id="806" w:name="_Toc5162"/>
      <w:bookmarkStart w:id="807" w:name="_Toc27019"/>
      <w:bookmarkStart w:id="808" w:name="_Toc2927"/>
      <w:bookmarkStart w:id="809" w:name="_Toc21013"/>
      <w:bookmarkStart w:id="810" w:name="_Toc32692"/>
      <w:bookmarkStart w:id="811" w:name="_Toc28468"/>
      <w:bookmarkStart w:id="812" w:name="_Toc9672"/>
      <w:bookmarkStart w:id="813" w:name="_Toc18917"/>
      <w:bookmarkStart w:id="814" w:name="_Toc7869"/>
      <w:bookmarkStart w:id="815" w:name="_Toc6021"/>
      <w:bookmarkStart w:id="816" w:name="_Toc48837335"/>
      <w:bookmarkStart w:id="817" w:name="_Toc6318"/>
      <w:bookmarkStart w:id="818" w:name="_Toc3263"/>
      <w:bookmarkStart w:id="819" w:name="_Toc10374"/>
      <w:bookmarkStart w:id="820" w:name="_Toc17866"/>
      <w:r>
        <w:rPr>
          <w:rFonts w:hint="eastAsia" w:ascii="方正仿宋_GBK" w:hAnsi="仿宋" w:eastAsia="仿宋" w:cs="仿宋"/>
          <w:color w:val="auto"/>
          <w:kern w:val="0"/>
          <w:szCs w:val="28"/>
          <w:highlight w:val="none"/>
        </w:rPr>
        <w:t>（二）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文件第二篇所需方案或证明材料（如果有）</w:t>
      </w:r>
    </w:p>
    <w:p>
      <w:pPr>
        <w:spacing w:line="520" w:lineRule="exact"/>
        <w:ind w:firstLine="438" w:firstLineChars="200"/>
        <w:jc w:val="left"/>
        <w:rPr>
          <w:rFonts w:ascii="方正仿宋_GBK" w:hAnsi="仿宋" w:eastAsia="仿宋" w:cs="仿宋"/>
          <w:color w:val="auto"/>
          <w:kern w:val="0"/>
          <w:szCs w:val="28"/>
          <w:highlight w:val="none"/>
        </w:rPr>
      </w:pP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文件第四篇评审标准“</w:t>
      </w:r>
      <w:r>
        <w:rPr>
          <w:rFonts w:hint="eastAsia" w:ascii="方正仿宋_GBK" w:hAnsi="仿宋" w:eastAsia="仿宋" w:cs="仿宋"/>
          <w:color w:val="auto"/>
          <w:kern w:val="0"/>
          <w:szCs w:val="28"/>
          <w:highlight w:val="none"/>
          <w:lang w:eastAsia="zh-CN"/>
        </w:rPr>
        <w:t>技术</w:t>
      </w:r>
      <w:r>
        <w:rPr>
          <w:rFonts w:hint="eastAsia" w:ascii="方正仿宋_GBK" w:hAnsi="仿宋" w:eastAsia="仿宋" w:cs="仿宋"/>
          <w:color w:val="auto"/>
          <w:kern w:val="0"/>
          <w:szCs w:val="28"/>
          <w:highlight w:val="none"/>
        </w:rPr>
        <w:t>部分”所要求的方案或证明材料</w:t>
      </w: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color w:val="auto"/>
          <w:highlight w:val="none"/>
        </w:rPr>
      </w:pPr>
      <w:r>
        <w:rPr>
          <w:rFonts w:hint="eastAsia" w:ascii="方正仿宋_GBK" w:hAnsi="仿宋" w:eastAsia="仿宋" w:cs="仿宋"/>
          <w:color w:val="auto"/>
          <w:kern w:val="0"/>
          <w:szCs w:val="28"/>
          <w:highlight w:val="none"/>
        </w:rPr>
        <w:t>（四）其他响应</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文件提供的服务文件</w:t>
      </w: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outlineLvl w:val="1"/>
        <w:rPr>
          <w:rFonts w:ascii="方正仿宋_GBK" w:hAnsi="仿宋" w:eastAsia="仿宋" w:cs="仿宋"/>
          <w:b/>
          <w:bCs/>
          <w:color w:val="auto"/>
          <w:kern w:val="0"/>
          <w:szCs w:val="28"/>
          <w:highlight w:val="none"/>
        </w:rPr>
      </w:pPr>
      <w:bookmarkStart w:id="821" w:name="_Toc29386"/>
      <w:bookmarkStart w:id="822" w:name="_Toc20336"/>
      <w:bookmarkStart w:id="823" w:name="_Toc20599"/>
      <w:bookmarkStart w:id="824" w:name="_Toc7024"/>
      <w:r>
        <w:rPr>
          <w:rFonts w:hint="eastAsia" w:ascii="方正仿宋_GBK" w:hAnsi="仿宋" w:eastAsia="仿宋" w:cs="仿宋"/>
          <w:b/>
          <w:bCs/>
          <w:color w:val="auto"/>
          <w:kern w:val="0"/>
          <w:szCs w:val="28"/>
          <w:highlight w:val="none"/>
          <w:lang w:eastAsia="zh-CN"/>
        </w:rPr>
        <w:t>二</w:t>
      </w:r>
      <w:r>
        <w:rPr>
          <w:rFonts w:hint="eastAsia" w:ascii="方正仿宋_GBK" w:hAnsi="仿宋" w:eastAsia="仿宋" w:cs="仿宋"/>
          <w:b/>
          <w:bCs/>
          <w:color w:val="auto"/>
          <w:kern w:val="0"/>
          <w:szCs w:val="28"/>
          <w:highlight w:val="none"/>
        </w:rPr>
        <w:t>、商务部分</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13"/>
        <w:spacing w:line="520" w:lineRule="exact"/>
        <w:ind w:firstLine="318" w:firstLineChars="200"/>
        <w:rPr>
          <w:rFonts w:ascii="仿宋" w:hAnsi="仿宋" w:eastAsia="仿宋"/>
          <w:color w:val="auto"/>
          <w:sz w:val="24"/>
          <w:szCs w:val="28"/>
          <w:highlight w:val="none"/>
        </w:rPr>
      </w:pPr>
      <w:r>
        <w:rPr>
          <w:rFonts w:hint="eastAsia" w:ascii="方正仿宋_GBK" w:hAnsi="仿宋" w:eastAsia="仿宋" w:cs="仿宋"/>
          <w:color w:val="auto"/>
          <w:kern w:val="0"/>
          <w:szCs w:val="28"/>
          <w:highlight w:val="none"/>
        </w:rPr>
        <w:t>（一）</w:t>
      </w:r>
      <w:r>
        <w:rPr>
          <w:rFonts w:hint="eastAsia" w:ascii="仿宋" w:hAnsi="仿宋" w:eastAsia="仿宋"/>
          <w:color w:val="auto"/>
          <w:sz w:val="24"/>
          <w:szCs w:val="28"/>
          <w:highlight w:val="none"/>
        </w:rPr>
        <w:t>商务响应差异表</w:t>
      </w:r>
    </w:p>
    <w:p>
      <w:pPr>
        <w:pStyle w:val="13"/>
        <w:spacing w:line="520" w:lineRule="exact"/>
        <w:jc w:val="center"/>
        <w:rPr>
          <w:rFonts w:ascii="仿宋" w:hAnsi="仿宋" w:eastAsia="仿宋"/>
          <w:b/>
          <w:bCs/>
          <w:color w:val="auto"/>
          <w:sz w:val="28"/>
          <w:szCs w:val="28"/>
          <w:highlight w:val="none"/>
        </w:rPr>
      </w:pPr>
      <w:bookmarkStart w:id="825" w:name="_Hlk84947424"/>
      <w:r>
        <w:rPr>
          <w:rFonts w:hint="eastAsia" w:ascii="仿宋" w:hAnsi="仿宋" w:eastAsia="仿宋"/>
          <w:b/>
          <w:bCs/>
          <w:color w:val="auto"/>
          <w:sz w:val="28"/>
          <w:szCs w:val="28"/>
          <w:highlight w:val="none"/>
        </w:rPr>
        <w:t>商务响应差异表</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项 目 号：</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项目名称：</w:t>
      </w:r>
    </w:p>
    <w:tbl>
      <w:tblPr>
        <w:tblStyle w:val="24"/>
        <w:tblW w:w="86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
        <w:gridCol w:w="3216"/>
        <w:gridCol w:w="3217"/>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jc w:val="center"/>
        </w:trPr>
        <w:tc>
          <w:tcPr>
            <w:tcW w:w="854"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序号</w:t>
            </w:r>
          </w:p>
        </w:tc>
        <w:tc>
          <w:tcPr>
            <w:tcW w:w="3216"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商务需求</w:t>
            </w:r>
          </w:p>
        </w:tc>
        <w:tc>
          <w:tcPr>
            <w:tcW w:w="3217"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商务应答</w:t>
            </w:r>
          </w:p>
        </w:tc>
        <w:tc>
          <w:tcPr>
            <w:tcW w:w="1314" w:type="dxa"/>
            <w:vAlign w:val="center"/>
          </w:tcPr>
          <w:p>
            <w:pPr>
              <w:keepNext w:val="0"/>
              <w:keepLines w:val="0"/>
              <w:suppressLineNumbers w:val="0"/>
              <w:spacing w:before="0" w:beforeAutospacing="0" w:after="0" w:afterAutospacing="0" w:line="240" w:lineRule="atLeast"/>
              <w:ind w:left="0" w:right="0"/>
              <w:jc w:val="center"/>
              <w:rPr>
                <w:rFonts w:hint="default" w:ascii="仿宋" w:hAnsi="仿宋" w:eastAsia="仿宋"/>
                <w:b/>
                <w:color w:val="auto"/>
                <w:sz w:val="21"/>
                <w:szCs w:val="21"/>
                <w:highlight w:val="none"/>
              </w:rPr>
            </w:pPr>
            <w:r>
              <w:rPr>
                <w:rFonts w:hint="eastAsia" w:ascii="仿宋" w:hAnsi="仿宋" w:eastAsia="仿宋"/>
                <w:b/>
                <w:color w:val="auto"/>
                <w:sz w:val="21"/>
                <w:szCs w:val="21"/>
                <w:highlight w:val="none"/>
              </w:rPr>
              <w:t>差异说明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r>
              <w:rPr>
                <w:rFonts w:hint="eastAsia" w:ascii="仿宋" w:hAnsi="仿宋" w:eastAsia="仿宋" w:cs="仿宋"/>
                <w:color w:val="auto"/>
                <w:sz w:val="21"/>
                <w:szCs w:val="21"/>
                <w:highlight w:val="none"/>
              </w:rPr>
              <w:t>提醒：请注明具体内容以及响应文件中具体内容的位置（页码）</w:t>
            </w: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5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6"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3217"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c>
          <w:tcPr>
            <w:tcW w:w="1314" w:type="dxa"/>
            <w:vAlign w:val="center"/>
          </w:tcPr>
          <w:p>
            <w:pPr>
              <w:keepNext w:val="0"/>
              <w:keepLines w:val="0"/>
              <w:suppressLineNumbers w:val="0"/>
              <w:spacing w:before="0" w:beforeAutospacing="0" w:after="0" w:afterAutospacing="0"/>
              <w:ind w:left="0" w:right="0"/>
              <w:jc w:val="center"/>
              <w:rPr>
                <w:rFonts w:hint="default" w:ascii="仿宋" w:hAnsi="仿宋" w:eastAsia="仿宋" w:cs="仿宋"/>
                <w:color w:val="auto"/>
                <w:sz w:val="21"/>
                <w:szCs w:val="21"/>
                <w:highlight w:val="none"/>
              </w:rPr>
            </w:pPr>
          </w:p>
        </w:tc>
      </w:tr>
    </w:tbl>
    <w:p>
      <w:pPr>
        <w:pStyle w:val="13"/>
        <w:spacing w:line="520" w:lineRule="exact"/>
        <w:ind w:firstLine="438" w:firstLineChars="200"/>
        <w:rPr>
          <w:rFonts w:ascii="仿宋" w:hAnsi="仿宋" w:eastAsia="仿宋"/>
          <w:color w:val="auto"/>
          <w:sz w:val="24"/>
          <w:szCs w:val="28"/>
          <w:highlight w:val="none"/>
        </w:rPr>
      </w:pP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供应商：                       法定代表人（或法定代表人授权代表）或自然人：</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（供应商公章）</w:t>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（签署或盖章）</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ab/>
      </w:r>
      <w:r>
        <w:rPr>
          <w:rFonts w:hint="eastAsia" w:ascii="仿宋" w:hAnsi="仿宋" w:eastAsia="仿宋"/>
          <w:color w:val="auto"/>
          <w:sz w:val="24"/>
          <w:szCs w:val="28"/>
          <w:highlight w:val="none"/>
        </w:rPr>
        <w:t xml:space="preserve"> 年   月   日 </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注：</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 xml:space="preserve">1.本表即为对本项目“第三篇 </w:t>
      </w:r>
      <w:r>
        <w:rPr>
          <w:rFonts w:hint="eastAsia" w:ascii="仿宋" w:hAnsi="仿宋" w:eastAsia="仿宋"/>
          <w:color w:val="auto"/>
          <w:sz w:val="24"/>
          <w:szCs w:val="28"/>
          <w:highlight w:val="none"/>
          <w:lang w:eastAsia="zh-CN"/>
        </w:rPr>
        <w:t>采购</w:t>
      </w:r>
      <w:r>
        <w:rPr>
          <w:rFonts w:hint="eastAsia" w:ascii="仿宋" w:hAnsi="仿宋" w:eastAsia="仿宋"/>
          <w:color w:val="auto"/>
          <w:sz w:val="24"/>
          <w:szCs w:val="28"/>
          <w:highlight w:val="none"/>
        </w:rPr>
        <w:t>商务要求”中所列条款进行比较和响应，应逐条如实填写，“商务应答”中必须列出具体数值或内容。如供应商未应答或只注明“符合”、“满足”等类似无具体数值或内容的表述，视为不满足相应条款；</w:t>
      </w:r>
    </w:p>
    <w:p>
      <w:pPr>
        <w:pStyle w:val="13"/>
        <w:spacing w:line="520" w:lineRule="exact"/>
        <w:ind w:firstLine="438" w:firstLineChars="200"/>
        <w:rPr>
          <w:rFonts w:ascii="仿宋" w:hAnsi="仿宋" w:eastAsia="仿宋"/>
          <w:color w:val="auto"/>
          <w:sz w:val="24"/>
          <w:szCs w:val="28"/>
          <w:highlight w:val="none"/>
        </w:rPr>
      </w:pPr>
      <w:r>
        <w:rPr>
          <w:rFonts w:hint="eastAsia" w:ascii="仿宋" w:hAnsi="仿宋" w:eastAsia="仿宋"/>
          <w:color w:val="auto"/>
          <w:sz w:val="24"/>
          <w:szCs w:val="28"/>
          <w:highlight w:val="none"/>
        </w:rPr>
        <w:t>2.该表必须按照</w:t>
      </w:r>
      <w:r>
        <w:rPr>
          <w:rFonts w:hint="eastAsia" w:ascii="仿宋" w:hAnsi="仿宋" w:eastAsia="仿宋"/>
          <w:color w:val="auto"/>
          <w:sz w:val="24"/>
          <w:szCs w:val="28"/>
          <w:highlight w:val="none"/>
          <w:lang w:eastAsia="zh-CN"/>
        </w:rPr>
        <w:t>遴选</w:t>
      </w:r>
      <w:r>
        <w:rPr>
          <w:rFonts w:hint="eastAsia" w:ascii="仿宋" w:hAnsi="仿宋" w:eastAsia="仿宋"/>
          <w:color w:val="auto"/>
          <w:sz w:val="24"/>
          <w:szCs w:val="28"/>
          <w:highlight w:val="none"/>
        </w:rPr>
        <w:t>文件要求逐条如实填写，根据响应情况在“差异说明”项填写正偏离或负偏离及原因，完全符合的填写“无差异”；</w:t>
      </w:r>
    </w:p>
    <w:p>
      <w:pPr>
        <w:pStyle w:val="13"/>
        <w:spacing w:line="520" w:lineRule="exact"/>
        <w:ind w:firstLine="438" w:firstLineChars="200"/>
        <w:rPr>
          <w:rFonts w:ascii="方正仿宋_GBK" w:hAnsi="方正仿宋_GBK" w:eastAsia="仿宋" w:cs="方正仿宋_GBK"/>
          <w:color w:val="auto"/>
          <w:sz w:val="32"/>
          <w:szCs w:val="32"/>
          <w:highlight w:val="none"/>
        </w:rPr>
      </w:pPr>
      <w:r>
        <w:rPr>
          <w:rFonts w:hint="eastAsia" w:ascii="仿宋" w:hAnsi="仿宋" w:eastAsia="仿宋"/>
          <w:color w:val="auto"/>
          <w:sz w:val="24"/>
          <w:szCs w:val="28"/>
          <w:highlight w:val="none"/>
        </w:rPr>
        <w:t>3.该表可扩展。</w:t>
      </w:r>
      <w:bookmarkEnd w:id="825"/>
      <w:r>
        <w:rPr>
          <w:rFonts w:hint="eastAsia" w:ascii="仿宋" w:hAnsi="仿宋" w:eastAsia="仿宋"/>
          <w:color w:val="auto"/>
          <w:sz w:val="24"/>
          <w:szCs w:val="28"/>
          <w:highlight w:val="none"/>
        </w:rPr>
        <w:br w:type="page"/>
      </w:r>
      <w:bookmarkStart w:id="826" w:name="_Toc15373"/>
      <w:bookmarkStart w:id="827" w:name="_Toc5897"/>
      <w:bookmarkStart w:id="828" w:name="_Toc452628354"/>
    </w:p>
    <w:p>
      <w:pPr>
        <w:spacing w:line="520" w:lineRule="exact"/>
        <w:ind w:firstLine="438" w:firstLineChars="200"/>
        <w:jc w:val="left"/>
        <w:rPr>
          <w:rFonts w:ascii="方正仿宋_GBK" w:hAnsi="仿宋" w:eastAsia="仿宋" w:cs="仿宋"/>
          <w:color w:val="auto"/>
          <w:kern w:val="0"/>
          <w:szCs w:val="28"/>
          <w:highlight w:val="none"/>
        </w:rPr>
      </w:pPr>
      <w:bookmarkStart w:id="829" w:name="_Toc32724"/>
      <w:bookmarkStart w:id="830" w:name="_Toc4344"/>
      <w:bookmarkStart w:id="831" w:name="_Toc10702"/>
      <w:bookmarkStart w:id="832" w:name="_Toc21604"/>
      <w:bookmarkStart w:id="833" w:name="_Toc2377"/>
      <w:bookmarkStart w:id="834" w:name="_Toc7089"/>
      <w:bookmarkStart w:id="835" w:name="_Toc21874"/>
      <w:bookmarkStart w:id="836" w:name="_Toc19323"/>
      <w:bookmarkStart w:id="837" w:name="_Toc26260"/>
      <w:bookmarkStart w:id="838" w:name="_Toc27026"/>
      <w:bookmarkStart w:id="839" w:name="_Toc12077"/>
      <w:bookmarkStart w:id="840" w:name="_Toc15642"/>
      <w:bookmarkStart w:id="841" w:name="_Toc28744"/>
      <w:bookmarkStart w:id="842" w:name="_Toc32354"/>
      <w:bookmarkStart w:id="843" w:name="_Toc7378"/>
      <w:bookmarkStart w:id="844" w:name="_Toc27078"/>
      <w:bookmarkStart w:id="845" w:name="_Toc48837336"/>
      <w:bookmarkStart w:id="846" w:name="_Toc28265"/>
      <w:bookmarkStart w:id="847" w:name="_Toc14442"/>
      <w:bookmarkStart w:id="848" w:name="_Toc19720"/>
      <w:bookmarkStart w:id="849" w:name="_Toc1566"/>
      <w:bookmarkStart w:id="850" w:name="_Toc13377"/>
      <w:r>
        <w:rPr>
          <w:rFonts w:hint="eastAsia" w:ascii="方正仿宋_GBK" w:hAnsi="仿宋" w:eastAsia="仿宋" w:cs="仿宋"/>
          <w:color w:val="auto"/>
          <w:kern w:val="0"/>
          <w:szCs w:val="28"/>
          <w:highlight w:val="none"/>
        </w:rPr>
        <w:t>（二）</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文件第三篇所需证明材料（如果有）</w:t>
      </w:r>
    </w:p>
    <w:p>
      <w:pPr>
        <w:spacing w:line="520" w:lineRule="exact"/>
        <w:ind w:firstLine="438" w:firstLineChars="200"/>
        <w:jc w:val="left"/>
        <w:rPr>
          <w:rFonts w:ascii="方正仿宋_GBK" w:hAnsi="仿宋" w:eastAsia="仿宋" w:cs="仿宋"/>
          <w:color w:val="auto"/>
          <w:kern w:val="0"/>
          <w:szCs w:val="28"/>
          <w:highlight w:val="none"/>
        </w:rPr>
      </w:pP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（三）</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文件第四篇评审标准“商务部分”所要求的证明材料</w:t>
      </w:r>
    </w:p>
    <w:p>
      <w:pPr>
        <w:spacing w:line="520" w:lineRule="exact"/>
        <w:ind w:firstLine="438" w:firstLineChars="200"/>
        <w:jc w:val="left"/>
        <w:rPr>
          <w:rFonts w:ascii="方正仿宋_GBK" w:hAnsi="仿宋" w:eastAsia="仿宋" w:cs="仿宋"/>
          <w:color w:val="auto"/>
          <w:kern w:val="0"/>
          <w:szCs w:val="28"/>
          <w:highlight w:val="none"/>
        </w:rPr>
      </w:pPr>
    </w:p>
    <w:p>
      <w:pPr>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（四）其他响应</w:t>
      </w:r>
      <w:r>
        <w:rPr>
          <w:rFonts w:hint="eastAsia" w:ascii="方正仿宋_GBK" w:hAnsi="仿宋" w:eastAsia="仿宋" w:cs="仿宋"/>
          <w:color w:val="auto"/>
          <w:kern w:val="0"/>
          <w:szCs w:val="28"/>
          <w:highlight w:val="none"/>
          <w:lang w:eastAsia="zh-CN"/>
        </w:rPr>
        <w:t>遴选</w:t>
      </w:r>
      <w:r>
        <w:rPr>
          <w:rFonts w:hint="eastAsia" w:ascii="方正仿宋_GBK" w:hAnsi="仿宋" w:eastAsia="仿宋" w:cs="仿宋"/>
          <w:color w:val="auto"/>
          <w:kern w:val="0"/>
          <w:szCs w:val="28"/>
          <w:highlight w:val="none"/>
        </w:rPr>
        <w:t>文件提供的商务文件</w:t>
      </w: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p>
      <w:pPr>
        <w:pStyle w:val="14"/>
        <w:rPr>
          <w:rFonts w:ascii="方正仿宋_GBK" w:hAnsi="仿宋" w:eastAsia="仿宋" w:cs="仿宋"/>
          <w:b/>
          <w:bCs/>
          <w:color w:val="auto"/>
          <w:kern w:val="0"/>
          <w:szCs w:val="28"/>
          <w:highlight w:val="none"/>
        </w:rPr>
      </w:pPr>
    </w:p>
    <w:p>
      <w:pPr>
        <w:pStyle w:val="14"/>
        <w:rPr>
          <w:rFonts w:ascii="方正仿宋_GBK" w:hAnsi="仿宋" w:eastAsia="仿宋" w:cs="仿宋"/>
          <w:b/>
          <w:bCs/>
          <w:color w:val="auto"/>
          <w:kern w:val="0"/>
          <w:szCs w:val="28"/>
          <w:highlight w:val="none"/>
        </w:rPr>
      </w:pPr>
    </w:p>
    <w:p>
      <w:pPr>
        <w:spacing w:line="520" w:lineRule="exact"/>
        <w:ind w:firstLine="438" w:firstLineChars="200"/>
        <w:jc w:val="left"/>
        <w:rPr>
          <w:rFonts w:ascii="方正仿宋_GBK" w:hAnsi="仿宋" w:eastAsia="仿宋" w:cs="仿宋"/>
          <w:b/>
          <w:bCs/>
          <w:color w:val="auto"/>
          <w:kern w:val="0"/>
          <w:szCs w:val="28"/>
          <w:highlight w:val="none"/>
        </w:rPr>
      </w:pPr>
    </w:p>
    <w:bookmarkEnd w:id="791"/>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Pr>
        <w:spacing w:line="520" w:lineRule="exact"/>
        <w:ind w:firstLine="438" w:firstLineChars="200"/>
        <w:jc w:val="left"/>
        <w:outlineLvl w:val="1"/>
        <w:rPr>
          <w:rFonts w:eastAsia="仿宋" w:cs="宋体"/>
          <w:b/>
          <w:bCs/>
          <w:color w:val="auto"/>
          <w:szCs w:val="28"/>
          <w:highlight w:val="none"/>
        </w:rPr>
      </w:pPr>
      <w:bookmarkStart w:id="851" w:name="_Toc29856"/>
      <w:bookmarkStart w:id="852" w:name="_Toc32670"/>
      <w:bookmarkStart w:id="853" w:name="_Toc48837337"/>
      <w:bookmarkStart w:id="854" w:name="_Toc2766"/>
      <w:bookmarkStart w:id="855" w:name="_Toc31891"/>
      <w:bookmarkStart w:id="856" w:name="_Toc1595"/>
      <w:bookmarkStart w:id="857" w:name="_Toc12867"/>
      <w:bookmarkStart w:id="858" w:name="_Toc18123"/>
      <w:bookmarkStart w:id="859" w:name="_Toc14575"/>
      <w:bookmarkStart w:id="860" w:name="_Toc7106"/>
      <w:bookmarkStart w:id="861" w:name="_Toc31017"/>
      <w:bookmarkStart w:id="862" w:name="_Toc5958"/>
      <w:bookmarkStart w:id="863" w:name="_Toc31133"/>
      <w:bookmarkStart w:id="864" w:name="_Toc23698"/>
      <w:bookmarkStart w:id="865" w:name="_Toc20178"/>
      <w:bookmarkStart w:id="866" w:name="_Toc20650"/>
      <w:bookmarkStart w:id="867" w:name="_Toc17557"/>
      <w:bookmarkStart w:id="868" w:name="_Toc11151"/>
      <w:bookmarkStart w:id="869" w:name="_Toc12843"/>
      <w:bookmarkStart w:id="870" w:name="_Toc31468"/>
      <w:bookmarkStart w:id="871" w:name="_Toc15684"/>
      <w:bookmarkStart w:id="872" w:name="_Toc2341"/>
      <w:bookmarkStart w:id="873" w:name="_Toc11174"/>
      <w:bookmarkStart w:id="874" w:name="_Toc19505"/>
      <w:bookmarkStart w:id="875" w:name="_Toc30432"/>
      <w:bookmarkStart w:id="876" w:name="_Toc32365"/>
      <w:bookmarkStart w:id="877" w:name="_Toc14854"/>
      <w:r>
        <w:rPr>
          <w:rFonts w:hint="eastAsia" w:eastAsia="仿宋" w:cs="宋体"/>
          <w:b/>
          <w:bCs/>
          <w:color w:val="auto"/>
          <w:szCs w:val="28"/>
          <w:highlight w:val="none"/>
          <w:lang w:eastAsia="zh-CN"/>
        </w:rPr>
        <w:t>三</w:t>
      </w:r>
      <w:r>
        <w:rPr>
          <w:rFonts w:hint="eastAsia" w:eastAsia="仿宋" w:cs="宋体"/>
          <w:b/>
          <w:bCs/>
          <w:color w:val="auto"/>
          <w:szCs w:val="28"/>
          <w:highlight w:val="none"/>
        </w:rPr>
        <w:t>、资格文件</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p>
    <w:p>
      <w:pPr>
        <w:spacing w:line="520" w:lineRule="exact"/>
        <w:ind w:firstLine="438" w:firstLineChars="200"/>
        <w:jc w:val="left"/>
        <w:rPr>
          <w:rFonts w:ascii="方正仿宋_GBK" w:hAnsi="仿宋" w:eastAsia="仿宋" w:cs="仿宋"/>
          <w:color w:val="auto"/>
          <w:kern w:val="0"/>
          <w:szCs w:val="28"/>
          <w:highlight w:val="none"/>
        </w:rPr>
      </w:pPr>
    </w:p>
    <w:p>
      <w:pPr>
        <w:spacing w:line="520" w:lineRule="exact"/>
        <w:ind w:firstLine="438" w:firstLineChars="200"/>
        <w:jc w:val="left"/>
        <w:rPr>
          <w:rFonts w:ascii="宋体" w:hAnsi="宋体" w:eastAsia="仿宋"/>
          <w:bCs/>
          <w:color w:val="auto"/>
          <w:highlight w:val="none"/>
        </w:rPr>
      </w:pPr>
      <w:r>
        <w:rPr>
          <w:rFonts w:hint="eastAsia" w:ascii="方正仿宋_GBK" w:hAnsi="仿宋" w:eastAsia="仿宋" w:cs="仿宋"/>
          <w:color w:val="auto"/>
          <w:kern w:val="0"/>
          <w:szCs w:val="28"/>
          <w:highlight w:val="none"/>
        </w:rPr>
        <w:t>（一）</w:t>
      </w:r>
      <w:bookmarkStart w:id="878" w:name="_Hlk84948558"/>
      <w:r>
        <w:rPr>
          <w:rFonts w:hint="eastAsia" w:ascii="方正仿宋_GBK" w:hAnsi="仿宋" w:eastAsia="仿宋" w:cs="仿宋"/>
          <w:color w:val="auto"/>
          <w:kern w:val="0"/>
          <w:szCs w:val="28"/>
          <w:highlight w:val="none"/>
        </w:rPr>
        <w:t>法人营业执照（副本）或事业单位法人证书（副本）或个体工商户营业执照或有效的自然人身份证明或社会团体法人登记证书复印件</w:t>
      </w:r>
      <w:bookmarkEnd w:id="878"/>
      <w:r>
        <w:rPr>
          <w:rFonts w:ascii="宋体" w:hAnsi="宋体" w:eastAsia="仿宋"/>
          <w:bCs/>
          <w:color w:val="auto"/>
          <w:highlight w:val="none"/>
        </w:rPr>
        <w:br w:type="page"/>
      </w:r>
    </w:p>
    <w:p>
      <w:pPr>
        <w:jc w:val="center"/>
        <w:rPr>
          <w:rFonts w:hint="eastAsia" w:ascii="仿宋" w:hAnsi="仿宋" w:eastAsia="仿宋" w:cs="仿宋"/>
          <w:color w:val="auto"/>
          <w:sz w:val="28"/>
          <w:szCs w:val="28"/>
          <w:highlight w:val="none"/>
        </w:rPr>
      </w:pPr>
      <w:bookmarkStart w:id="879" w:name="_Hlk84948793"/>
      <w:bookmarkStart w:id="880" w:name="_Hlk84948823"/>
      <w:r>
        <w:rPr>
          <w:rFonts w:hint="eastAsia" w:ascii="仿宋" w:hAnsi="仿宋" w:eastAsia="仿宋" w:cs="仿宋"/>
          <w:color w:val="auto"/>
          <w:sz w:val="28"/>
          <w:szCs w:val="28"/>
          <w:highlight w:val="none"/>
        </w:rPr>
        <w:t>（二）法定代表人身份证明书（格式）</w:t>
      </w:r>
    </w:p>
    <w:p>
      <w:pPr>
        <w:ind w:firstLine="438"/>
        <w:rPr>
          <w:rFonts w:hint="eastAsia" w:ascii="仿宋" w:hAnsi="仿宋" w:eastAsia="仿宋" w:cs="仿宋"/>
          <w:color w:val="auto"/>
          <w:szCs w:val="22"/>
          <w:highlight w:val="none"/>
        </w:rPr>
      </w:pPr>
    </w:p>
    <w:p>
      <w:pPr>
        <w:spacing w:line="520" w:lineRule="exact"/>
        <w:ind w:firstLine="438" w:firstLineChars="200"/>
        <w:jc w:val="left"/>
        <w:rPr>
          <w:rFonts w:hint="eastAsia" w:ascii="方正仿宋_GBK" w:hAnsi="仿宋" w:eastAsia="仿宋" w:cs="仿宋"/>
          <w:color w:val="auto"/>
          <w:kern w:val="0"/>
          <w:szCs w:val="28"/>
          <w:highlight w:val="none"/>
          <w:u w:val="single"/>
        </w:rPr>
      </w:pPr>
      <w:r>
        <w:rPr>
          <w:rFonts w:hint="eastAsia" w:ascii="方正仿宋_GBK" w:hAnsi="仿宋" w:eastAsia="仿宋" w:cs="仿宋"/>
          <w:color w:val="auto"/>
          <w:kern w:val="0"/>
          <w:szCs w:val="28"/>
          <w:highlight w:val="none"/>
        </w:rPr>
        <w:t>项目名称：</w:t>
      </w:r>
      <w:r>
        <w:rPr>
          <w:rFonts w:hint="eastAsia" w:ascii="方正仿宋_GBK" w:hAnsi="仿宋" w:eastAsia="仿宋" w:cs="仿宋"/>
          <w:color w:val="auto"/>
          <w:kern w:val="0"/>
          <w:szCs w:val="28"/>
          <w:highlight w:val="none"/>
          <w:u w:val="single"/>
        </w:rPr>
        <w:t xml:space="preserve">                        </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u w:val="single"/>
        </w:rPr>
      </w:pPr>
      <w:r>
        <w:rPr>
          <w:rFonts w:hint="eastAsia" w:ascii="方正仿宋_GBK" w:hAnsi="仿宋" w:eastAsia="仿宋" w:cs="仿宋"/>
          <w:color w:val="auto"/>
          <w:kern w:val="0"/>
          <w:szCs w:val="28"/>
          <w:highlight w:val="none"/>
        </w:rPr>
        <w:t>致：</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（采购</w:t>
      </w:r>
      <w:r>
        <w:rPr>
          <w:rFonts w:hint="eastAsia" w:ascii="方正仿宋_GBK" w:hAnsi="仿宋" w:eastAsia="仿宋" w:cs="仿宋"/>
          <w:color w:val="auto"/>
          <w:kern w:val="0"/>
          <w:szCs w:val="28"/>
          <w:highlight w:val="none"/>
          <w:lang w:eastAsia="zh-CN"/>
        </w:rPr>
        <w:t>人</w:t>
      </w:r>
      <w:r>
        <w:rPr>
          <w:rFonts w:hint="eastAsia" w:ascii="方正仿宋_GBK" w:hAnsi="仿宋" w:eastAsia="仿宋" w:cs="仿宋"/>
          <w:color w:val="auto"/>
          <w:kern w:val="0"/>
          <w:szCs w:val="28"/>
          <w:highlight w:val="none"/>
        </w:rPr>
        <w:t>名称）</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（法定代表人姓名）在</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（供应商名称）任</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（职务名称）职务，是</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（供应商名称）的法定代表人。</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特此证明。</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5475" w:firstLineChars="25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（供应商公章）</w:t>
      </w:r>
    </w:p>
    <w:p>
      <w:pPr>
        <w:spacing w:line="520" w:lineRule="exact"/>
        <w:ind w:firstLine="5585" w:firstLineChars="255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 xml:space="preserve">年   月   日 </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bookmarkStart w:id="881" w:name="_Hlk84948705"/>
      <w:r>
        <w:rPr>
          <w:rFonts w:hint="eastAsia" w:ascii="方正仿宋_GBK" w:hAnsi="仿宋" w:eastAsia="仿宋" w:cs="仿宋"/>
          <w:color w:val="auto"/>
          <w:kern w:val="0"/>
          <w:szCs w:val="28"/>
          <w:highlight w:val="none"/>
        </w:rPr>
        <w:t>法定代表人电话：XXXXXXX      电子邮箱：XXXXXX@XXXXX（若授权他人办理并签署响应文件的可不填写）</w:t>
      </w:r>
      <w:bookmarkEnd w:id="881"/>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（附：法定代表人身份证</w:t>
      </w:r>
      <w:r>
        <w:rPr>
          <w:rFonts w:hint="eastAsia" w:ascii="方正仿宋_GBK" w:hAnsi="仿宋" w:eastAsia="方正仿宋_GBK"/>
          <w:color w:val="auto"/>
          <w:sz w:val="24"/>
          <w:highlight w:val="none"/>
        </w:rPr>
        <w:t>正反面</w:t>
      </w:r>
      <w:r>
        <w:rPr>
          <w:rFonts w:hint="eastAsia" w:ascii="方正仿宋_GBK" w:hAnsi="仿宋" w:eastAsia="仿宋" w:cs="仿宋"/>
          <w:color w:val="auto"/>
          <w:kern w:val="0"/>
          <w:szCs w:val="28"/>
          <w:highlight w:val="none"/>
        </w:rPr>
        <w:t>复印件）</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br w:type="page"/>
      </w:r>
    </w:p>
    <w:bookmarkEnd w:id="879"/>
    <w:bookmarkEnd w:id="880"/>
    <w:p>
      <w:pPr>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（三）法定代表人授权委托书（格式）</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u w:val="single"/>
        </w:rPr>
      </w:pPr>
      <w:r>
        <w:rPr>
          <w:rFonts w:hint="eastAsia" w:ascii="方正仿宋_GBK" w:hAnsi="仿宋" w:eastAsia="仿宋" w:cs="仿宋"/>
          <w:color w:val="auto"/>
          <w:kern w:val="0"/>
          <w:szCs w:val="28"/>
          <w:highlight w:val="none"/>
        </w:rPr>
        <w:t>项目名称：</w:t>
      </w:r>
      <w:r>
        <w:rPr>
          <w:rFonts w:hint="eastAsia" w:ascii="方正仿宋_GBK" w:hAnsi="仿宋" w:eastAsia="仿宋" w:cs="仿宋"/>
          <w:color w:val="auto"/>
          <w:kern w:val="0"/>
          <w:szCs w:val="28"/>
          <w:highlight w:val="none"/>
          <w:u w:val="single"/>
        </w:rPr>
        <w:t xml:space="preserve">                        </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致：</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（采购</w:t>
      </w:r>
      <w:r>
        <w:rPr>
          <w:rFonts w:hint="eastAsia" w:ascii="方正仿宋_GBK" w:hAnsi="仿宋" w:eastAsia="仿宋" w:cs="仿宋"/>
          <w:color w:val="auto"/>
          <w:kern w:val="0"/>
          <w:szCs w:val="28"/>
          <w:highlight w:val="none"/>
          <w:lang w:eastAsia="zh-CN"/>
        </w:rPr>
        <w:t>人</w:t>
      </w:r>
      <w:r>
        <w:rPr>
          <w:rFonts w:hint="eastAsia" w:ascii="方正仿宋_GBK" w:hAnsi="仿宋" w:eastAsia="仿宋" w:cs="仿宋"/>
          <w:color w:val="auto"/>
          <w:kern w:val="0"/>
          <w:szCs w:val="28"/>
          <w:highlight w:val="none"/>
        </w:rPr>
        <w:t>名称）</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（供应商法定代表人名称）是</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（供应商名称）的法定代表人，特授权</w:t>
      </w:r>
      <w:r>
        <w:rPr>
          <w:rFonts w:hint="eastAsia" w:ascii="方正仿宋_GBK" w:hAnsi="仿宋" w:eastAsia="仿宋" w:cs="仿宋"/>
          <w:color w:val="auto"/>
          <w:kern w:val="0"/>
          <w:szCs w:val="28"/>
          <w:highlight w:val="none"/>
          <w:u w:val="single"/>
        </w:rPr>
        <w:t xml:space="preserve">                        </w:t>
      </w:r>
      <w:r>
        <w:rPr>
          <w:rFonts w:hint="eastAsia" w:ascii="方正仿宋_GBK" w:hAnsi="仿宋" w:eastAsia="仿宋" w:cs="仿宋"/>
          <w:color w:val="auto"/>
          <w:kern w:val="0"/>
          <w:szCs w:val="28"/>
          <w:highlight w:val="none"/>
        </w:rPr>
        <w:t>（被授权人姓名及身份证代码）代表我单位全权办理上述项目的响应、谈判、签约等具体工作，并签署全部有关文件、协议及合同。</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我单位对被授权人的签署负全部责任。</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在撤消授权的书面通知以前，本授权书一直有效。被授权人在授权书有效期内签署的所有文件不因授权的撤消而失效。</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被授权人：</w:t>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供应商法定代表人：</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（签署或盖章）</w:t>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 xml:space="preserve">  （签署或盖章）</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 xml:space="preserve">  （供应商公章） </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ab/>
      </w:r>
      <w:r>
        <w:rPr>
          <w:rFonts w:hint="eastAsia" w:ascii="方正仿宋_GBK" w:hAnsi="仿宋" w:eastAsia="仿宋" w:cs="仿宋"/>
          <w:color w:val="auto"/>
          <w:kern w:val="0"/>
          <w:szCs w:val="28"/>
          <w:highlight w:val="none"/>
        </w:rPr>
        <w:t xml:space="preserve">   年   月   日 </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（附：</w:t>
      </w:r>
      <w:bookmarkStart w:id="882" w:name="_Hlk69975477"/>
      <w:r>
        <w:rPr>
          <w:rFonts w:hint="eastAsia" w:ascii="方正仿宋_GBK" w:hAnsi="仿宋" w:eastAsia="仿宋" w:cs="仿宋"/>
          <w:color w:val="auto"/>
          <w:kern w:val="0"/>
          <w:szCs w:val="28"/>
          <w:highlight w:val="none"/>
        </w:rPr>
        <w:t>被授权人</w:t>
      </w:r>
      <w:bookmarkEnd w:id="882"/>
      <w:r>
        <w:rPr>
          <w:rFonts w:hint="eastAsia" w:ascii="方正仿宋_GBK" w:hAnsi="仿宋" w:eastAsia="仿宋" w:cs="仿宋"/>
          <w:color w:val="auto"/>
          <w:kern w:val="0"/>
          <w:szCs w:val="28"/>
          <w:highlight w:val="none"/>
        </w:rPr>
        <w:t>身份证</w:t>
      </w:r>
      <w:r>
        <w:rPr>
          <w:rFonts w:hint="eastAsia" w:ascii="方正仿宋_GBK" w:hAnsi="仿宋" w:eastAsia="方正仿宋_GBK"/>
          <w:color w:val="auto"/>
          <w:sz w:val="24"/>
          <w:highlight w:val="none"/>
        </w:rPr>
        <w:t>正反面</w:t>
      </w:r>
      <w:r>
        <w:rPr>
          <w:rFonts w:hint="eastAsia" w:ascii="方正仿宋_GBK" w:hAnsi="仿宋" w:eastAsia="仿宋" w:cs="仿宋"/>
          <w:color w:val="auto"/>
          <w:kern w:val="0"/>
          <w:szCs w:val="28"/>
          <w:highlight w:val="none"/>
        </w:rPr>
        <w:t>复印件）</w:t>
      </w: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被授权人电话：XXXXXXX     电子邮箱：XXXXXX@XXXXX（若法定代表人办理并签署响应文件的可不填写）</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注：</w:t>
      </w:r>
    </w:p>
    <w:p>
      <w:pPr>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1.若为法定代表人办理并签署响应文件的，不提供此文件。</w:t>
      </w:r>
    </w:p>
    <w:p>
      <w:pPr>
        <w:tabs>
          <w:tab w:val="left" w:pos="6300"/>
        </w:tabs>
        <w:snapToGrid w:val="0"/>
        <w:spacing w:line="500" w:lineRule="exact"/>
        <w:ind w:firstLine="438" w:firstLineChars="200"/>
        <w:rPr>
          <w:rFonts w:hint="eastAsia" w:ascii="方正仿宋_GBK" w:hAnsi="宋体" w:eastAsia="方正仿宋_GBK"/>
          <w:color w:val="auto"/>
          <w:sz w:val="24"/>
          <w:szCs w:val="24"/>
          <w:highlight w:val="none"/>
        </w:rPr>
      </w:pPr>
      <w:r>
        <w:rPr>
          <w:rFonts w:hint="eastAsia" w:ascii="方正仿宋_GBK" w:hAnsi="仿宋" w:eastAsia="仿宋" w:cs="仿宋"/>
          <w:color w:val="auto"/>
          <w:kern w:val="0"/>
          <w:szCs w:val="28"/>
          <w:highlight w:val="none"/>
        </w:rPr>
        <w:t>2.若为联合体的，法定代表人授权委托书由联合体主办方（主体）出具。</w:t>
      </w:r>
      <w:r>
        <w:rPr>
          <w:rFonts w:hint="eastAsia" w:ascii="方正仿宋_GBK" w:hAnsi="仿宋" w:eastAsia="仿宋" w:cs="仿宋"/>
          <w:color w:val="auto"/>
          <w:kern w:val="0"/>
          <w:szCs w:val="28"/>
          <w:highlight w:val="none"/>
        </w:rPr>
        <w:br w:type="column"/>
      </w:r>
      <w:r>
        <w:rPr>
          <w:rFonts w:hint="eastAsia" w:ascii="仿宋" w:hAnsi="仿宋" w:eastAsia="仿宋" w:cs="仿宋"/>
          <w:color w:val="auto"/>
          <w:szCs w:val="24"/>
          <w:highlight w:val="none"/>
        </w:rPr>
        <w:t>（四）基本资格条件承诺函</w:t>
      </w:r>
    </w:p>
    <w:p>
      <w:pPr>
        <w:tabs>
          <w:tab w:val="left" w:pos="6300"/>
        </w:tabs>
        <w:snapToGrid w:val="0"/>
        <w:spacing w:line="500" w:lineRule="exact"/>
        <w:ind w:firstLine="598" w:firstLineChars="200"/>
        <w:jc w:val="center"/>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rPr>
        <w:t>基本资格条件承诺函</w:t>
      </w:r>
    </w:p>
    <w:p>
      <w:pPr>
        <w:tabs>
          <w:tab w:val="left" w:pos="6300"/>
        </w:tabs>
        <w:snapToGrid w:val="0"/>
        <w:spacing w:line="530" w:lineRule="exact"/>
        <w:rPr>
          <w:color w:val="auto"/>
          <w:sz w:val="24"/>
          <w:highlight w:val="none"/>
        </w:rPr>
      </w:pP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 xml:space="preserve">致 </w:t>
      </w:r>
      <w:r>
        <w:rPr>
          <w:rFonts w:hint="eastAsia" w:ascii="仿宋" w:hAnsi="仿宋" w:eastAsia="仿宋" w:cs="仿宋"/>
          <w:color w:val="auto"/>
          <w:szCs w:val="24"/>
          <w:highlight w:val="none"/>
          <w:u w:val="single"/>
        </w:rPr>
        <w:t xml:space="preserve">                  </w:t>
      </w:r>
      <w:r>
        <w:rPr>
          <w:rFonts w:hint="eastAsia" w:ascii="仿宋" w:hAnsi="仿宋" w:eastAsia="仿宋" w:cs="仿宋"/>
          <w:color w:val="auto"/>
          <w:szCs w:val="24"/>
          <w:highlight w:val="none"/>
        </w:rPr>
        <w:t>（采购</w:t>
      </w:r>
      <w:r>
        <w:rPr>
          <w:rFonts w:hint="eastAsia" w:ascii="仿宋" w:hAnsi="仿宋" w:eastAsia="仿宋" w:cs="仿宋"/>
          <w:color w:val="auto"/>
          <w:szCs w:val="24"/>
          <w:highlight w:val="none"/>
          <w:lang w:eastAsia="zh-CN"/>
        </w:rPr>
        <w:t>人</w:t>
      </w:r>
      <w:r>
        <w:rPr>
          <w:rFonts w:hint="eastAsia" w:ascii="仿宋" w:hAnsi="仿宋" w:eastAsia="仿宋" w:cs="仿宋"/>
          <w:color w:val="auto"/>
          <w:szCs w:val="24"/>
          <w:highlight w:val="none"/>
        </w:rPr>
        <w:t>名称）：</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u w:val="single"/>
        </w:rPr>
        <w:t xml:space="preserve">                  </w:t>
      </w:r>
      <w:r>
        <w:rPr>
          <w:rFonts w:hint="eastAsia" w:ascii="仿宋" w:hAnsi="仿宋" w:eastAsia="仿宋" w:cs="仿宋"/>
          <w:color w:val="auto"/>
          <w:szCs w:val="24"/>
          <w:highlight w:val="none"/>
        </w:rPr>
        <w:t>（供应商名称）郑重承诺：</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1.我方具有良好的商业信誉和健全的财务会计制度，具有履行合同所必需的设备和专业技术能力，具</w:t>
      </w:r>
      <w:r>
        <w:rPr>
          <w:rFonts w:hint="eastAsia" w:ascii="仿宋" w:hAnsi="仿宋" w:eastAsia="仿宋" w:cs="仿宋"/>
          <w:color w:val="auto"/>
          <w:szCs w:val="24"/>
          <w:highlight w:val="none"/>
          <w:lang w:val="zh-CN"/>
        </w:rPr>
        <w:t>有依法缴纳税收和社会保障金的良好记录</w:t>
      </w:r>
      <w:r>
        <w:rPr>
          <w:rFonts w:hint="eastAsia" w:ascii="仿宋" w:hAnsi="仿宋" w:eastAsia="仿宋" w:cs="仿宋"/>
          <w:color w:val="auto"/>
          <w:szCs w:val="24"/>
          <w:highlight w:val="none"/>
        </w:rPr>
        <w:t>，参加本项目采购活动前三年内无重大违法活动记录。</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2.我方未列入在信用中国网站（www.creditchina.gov.cn）“失信被执行人”、“重大税收违法案件当事人名单”中，也未列入中国政府采购网（www.ccgp.gov.cn）“政府采购严重违法失信行为记录名单”中。</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3.我方在采购项目评审（评标）环节结束后，随时接受采购人、采购代理机构的检查验证，配合提供相关证明材料，证明符合《中华人民共和国政府采购法》规定的供应商基本资格条件。</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我方对以上承诺负全部法律责任。</w:t>
      </w:r>
    </w:p>
    <w:p>
      <w:pPr>
        <w:spacing w:line="520" w:lineRule="exact"/>
        <w:ind w:firstLine="438" w:firstLineChars="200"/>
        <w:rPr>
          <w:rFonts w:hint="eastAsia" w:ascii="仿宋" w:hAnsi="仿宋" w:eastAsia="仿宋" w:cs="仿宋"/>
          <w:color w:val="auto"/>
          <w:szCs w:val="24"/>
          <w:highlight w:val="none"/>
        </w:rPr>
      </w:pPr>
      <w:r>
        <w:rPr>
          <w:rFonts w:hint="eastAsia" w:ascii="仿宋" w:hAnsi="仿宋" w:eastAsia="仿宋" w:cs="仿宋"/>
          <w:color w:val="auto"/>
          <w:szCs w:val="24"/>
          <w:highlight w:val="none"/>
        </w:rPr>
        <w:t>特此承诺。</w:t>
      </w:r>
    </w:p>
    <w:p>
      <w:pPr>
        <w:spacing w:line="520" w:lineRule="exact"/>
        <w:ind w:firstLine="438" w:firstLineChars="200"/>
        <w:rPr>
          <w:rFonts w:hint="eastAsia" w:ascii="仿宋" w:hAnsi="仿宋" w:eastAsia="仿宋" w:cs="仿宋"/>
          <w:color w:val="auto"/>
          <w:szCs w:val="24"/>
          <w:highlight w:val="none"/>
        </w:rPr>
      </w:pPr>
    </w:p>
    <w:p>
      <w:pPr>
        <w:spacing w:line="520" w:lineRule="exact"/>
        <w:ind w:firstLine="438" w:firstLineChars="200"/>
        <w:jc w:val="center"/>
        <w:rPr>
          <w:rFonts w:hint="eastAsia" w:ascii="仿宋" w:hAnsi="仿宋" w:eastAsia="仿宋" w:cs="仿宋"/>
          <w:color w:val="auto"/>
          <w:szCs w:val="24"/>
          <w:highlight w:val="none"/>
        </w:rPr>
      </w:pPr>
      <w:r>
        <w:rPr>
          <w:rFonts w:hint="eastAsia" w:ascii="仿宋" w:hAnsi="仿宋" w:eastAsia="仿宋" w:cs="仿宋"/>
          <w:color w:val="auto"/>
          <w:szCs w:val="24"/>
          <w:highlight w:val="none"/>
          <w:lang w:val="en-US" w:eastAsia="zh-CN"/>
        </w:rPr>
        <w:t xml:space="preserve">                                        </w:t>
      </w:r>
      <w:r>
        <w:rPr>
          <w:rFonts w:hint="eastAsia" w:ascii="仿宋" w:hAnsi="仿宋" w:eastAsia="仿宋" w:cs="仿宋"/>
          <w:color w:val="auto"/>
          <w:szCs w:val="24"/>
          <w:highlight w:val="none"/>
        </w:rPr>
        <w:t>（供应商公章）</w:t>
      </w:r>
    </w:p>
    <w:p>
      <w:pPr>
        <w:spacing w:line="520" w:lineRule="exact"/>
        <w:jc w:val="both"/>
        <w:rPr>
          <w:rFonts w:hint="eastAsia" w:ascii="仿宋" w:hAnsi="仿宋" w:eastAsia="仿宋" w:cs="仿宋"/>
          <w:color w:val="auto"/>
          <w:szCs w:val="24"/>
          <w:highlight w:val="none"/>
        </w:rPr>
      </w:pPr>
    </w:p>
    <w:p>
      <w:pPr>
        <w:spacing w:line="520" w:lineRule="exact"/>
        <w:ind w:firstLine="6570" w:firstLineChars="3000"/>
        <w:jc w:val="both"/>
        <w:rPr>
          <w:rFonts w:hint="eastAsia" w:ascii="仿宋" w:hAnsi="仿宋" w:eastAsia="仿宋" w:cs="仿宋"/>
          <w:color w:val="auto"/>
          <w:szCs w:val="24"/>
          <w:highlight w:val="none"/>
        </w:rPr>
      </w:pPr>
      <w:r>
        <w:rPr>
          <w:rFonts w:hint="eastAsia" w:ascii="仿宋" w:hAnsi="仿宋" w:eastAsia="仿宋" w:cs="仿宋"/>
          <w:color w:val="auto"/>
          <w:szCs w:val="24"/>
          <w:highlight w:val="none"/>
        </w:rPr>
        <w:t>年   月   日</w:t>
      </w:r>
    </w:p>
    <w:p>
      <w:pPr>
        <w:spacing w:line="520" w:lineRule="exact"/>
        <w:ind w:firstLine="6570" w:firstLineChars="3000"/>
        <w:rPr>
          <w:rFonts w:ascii="仿宋" w:hAnsi="仿宋" w:eastAsia="仿宋" w:cs="仿宋"/>
          <w:color w:val="auto"/>
          <w:szCs w:val="24"/>
          <w:highlight w:val="none"/>
        </w:rPr>
      </w:pPr>
    </w:p>
    <w:p>
      <w:pPr>
        <w:spacing w:line="520" w:lineRule="exact"/>
        <w:ind w:firstLine="438" w:firstLineChars="200"/>
        <w:jc w:val="right"/>
        <w:rPr>
          <w:rFonts w:hint="eastAsia"/>
          <w:color w:val="auto"/>
          <w:highlight w:val="none"/>
        </w:rPr>
      </w:pPr>
      <w:r>
        <w:rPr>
          <w:rFonts w:hint="eastAsia" w:ascii="仿宋" w:hAnsi="仿宋" w:eastAsia="仿宋" w:cs="仿宋"/>
          <w:color w:val="auto"/>
          <w:szCs w:val="24"/>
          <w:highlight w:val="none"/>
        </w:rPr>
        <w:br w:type="page"/>
      </w:r>
      <w:bookmarkStart w:id="883" w:name="_Hlk84948932"/>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lang w:eastAsia="zh-CN"/>
        </w:rPr>
      </w:pPr>
      <w:r>
        <w:rPr>
          <w:rFonts w:hint="eastAsia" w:ascii="方正仿宋_GBK" w:hAnsi="仿宋" w:eastAsia="仿宋" w:cs="仿宋"/>
          <w:color w:val="auto"/>
          <w:kern w:val="0"/>
          <w:szCs w:val="28"/>
          <w:highlight w:val="none"/>
          <w:lang w:eastAsia="zh-CN"/>
        </w:rPr>
        <w:t>（五）</w:t>
      </w:r>
      <w:r>
        <w:rPr>
          <w:rFonts w:hint="eastAsia" w:ascii="方正仿宋_GBK" w:hAnsi="仿宋" w:eastAsia="仿宋" w:cs="仿宋"/>
          <w:color w:val="auto"/>
          <w:kern w:val="0"/>
          <w:szCs w:val="28"/>
          <w:highlight w:val="none"/>
          <w:lang w:val="en-US" w:eastAsia="zh-CN"/>
        </w:rPr>
        <w:t>如为授权代表参加遴选的，还需提供该项目授权代表近三个月缴纳社会保险参保证明。</w:t>
      </w: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eastAsia="zh-CN"/>
        </w:rPr>
        <w:t>六</w:t>
      </w:r>
      <w:r>
        <w:rPr>
          <w:rFonts w:hint="eastAsia" w:ascii="方正仿宋_GBK" w:hAnsi="仿宋" w:eastAsia="仿宋" w:cs="仿宋"/>
          <w:color w:val="auto"/>
          <w:kern w:val="0"/>
          <w:szCs w:val="28"/>
          <w:highlight w:val="none"/>
        </w:rPr>
        <w:t>）</w:t>
      </w:r>
      <w:r>
        <w:rPr>
          <w:rFonts w:hint="eastAsia" w:ascii="方正仿宋_GBK" w:hAnsi="仿宋" w:eastAsia="仿宋" w:cs="仿宋"/>
          <w:color w:val="auto"/>
          <w:kern w:val="0"/>
          <w:szCs w:val="28"/>
          <w:highlight w:val="none"/>
          <w:lang w:val="en-US" w:eastAsia="zh-CN"/>
        </w:rPr>
        <w:t>特定资格条件证书或证明文件：</w:t>
      </w:r>
    </w:p>
    <w:p>
      <w:pPr>
        <w:pStyle w:val="22"/>
        <w:rPr>
          <w:rFonts w:hint="eastAsia"/>
          <w:color w:val="auto"/>
          <w:highlight w:val="none"/>
        </w:rPr>
      </w:pPr>
    </w:p>
    <w:bookmarkEnd w:id="883"/>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hint="eastAsia" w:ascii="方正仿宋_GBK" w:hAnsi="仿宋" w:eastAsia="仿宋" w:cs="仿宋"/>
          <w:color w:val="auto"/>
          <w:kern w:val="0"/>
          <w:szCs w:val="28"/>
          <w:highlight w:val="none"/>
        </w:rPr>
      </w:pPr>
    </w:p>
    <w:p>
      <w:pPr>
        <w:tabs>
          <w:tab w:val="left" w:pos="6300"/>
        </w:tabs>
        <w:snapToGrid w:val="0"/>
        <w:spacing w:line="520" w:lineRule="exact"/>
        <w:ind w:firstLine="438" w:firstLineChars="200"/>
        <w:jc w:val="left"/>
        <w:rPr>
          <w:rFonts w:ascii="方正仿宋_GBK" w:hAnsi="仿宋" w:eastAsia="仿宋" w:cs="仿宋"/>
          <w:color w:val="auto"/>
          <w:kern w:val="0"/>
          <w:szCs w:val="28"/>
          <w:highlight w:val="none"/>
        </w:rPr>
      </w:pPr>
      <w:r>
        <w:rPr>
          <w:rFonts w:hint="eastAsia" w:ascii="方正仿宋_GBK" w:hAnsi="仿宋" w:eastAsia="仿宋" w:cs="仿宋"/>
          <w:color w:val="auto"/>
          <w:kern w:val="0"/>
          <w:szCs w:val="28"/>
          <w:highlight w:val="none"/>
        </w:rPr>
        <w:t>说明：供应商按“多证合一”登记制度办理营业执照的，税务登记证（副本）和社会保险登记证以供应商所提供的法人营业执照（副本）复印件为准。</w:t>
      </w:r>
    </w:p>
    <w:p>
      <w:pPr>
        <w:tabs>
          <w:tab w:val="left" w:pos="6300"/>
        </w:tabs>
        <w:snapToGrid w:val="0"/>
        <w:spacing w:line="520" w:lineRule="exact"/>
        <w:ind w:firstLine="438" w:firstLineChars="200"/>
        <w:jc w:val="left"/>
        <w:rPr>
          <w:rFonts w:ascii="方正仿宋_GBK" w:hAnsi="仿宋" w:eastAsia="仿宋" w:cs="仿宋"/>
          <w:color w:val="auto"/>
          <w:kern w:val="0"/>
          <w:szCs w:val="28"/>
          <w:highlight w:val="none"/>
        </w:rPr>
      </w:pPr>
    </w:p>
    <w:p>
      <w:pPr>
        <w:tabs>
          <w:tab w:val="left" w:pos="6300"/>
        </w:tabs>
        <w:snapToGrid w:val="0"/>
        <w:spacing w:line="520" w:lineRule="exact"/>
        <w:ind w:firstLine="438" w:firstLineChars="200"/>
        <w:jc w:val="right"/>
        <w:rPr>
          <w:rFonts w:eastAsia="仿宋"/>
          <w:color w:val="auto"/>
          <w:highlight w:val="none"/>
        </w:rPr>
      </w:pPr>
    </w:p>
    <w:sectPr>
      <w:pgSz w:w="11907" w:h="16840"/>
      <w:pgMar w:top="1134" w:right="1191" w:bottom="1134" w:left="1304" w:header="794" w:footer="992" w:gutter="0"/>
      <w:pgBorders>
        <w:top w:val="none" w:sz="0" w:space="0"/>
        <w:left w:val="none" w:sz="0" w:space="0"/>
        <w:bottom w:val="none" w:sz="0" w:space="0"/>
        <w:right w:val="none" w:sz="0" w:space="0"/>
      </w:pgBorders>
      <w:pgNumType w:fmt="decimal"/>
      <w:cols w:space="720" w:num="1"/>
      <w:docGrid w:type="linesAndChars" w:linePitch="393" w:charSpace="-43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_GBK">
    <w:altName w:val="Arial Unicode MS"/>
    <w:panose1 w:val="03000509000000000000"/>
    <w:charset w:val="86"/>
    <w:family w:val="script"/>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Calibri Light">
    <w:altName w:val="Calibri"/>
    <w:panose1 w:val="020F0302020204030204"/>
    <w:charset w:val="00"/>
    <w:family w:val="swiss"/>
    <w:pitch w:val="default"/>
    <w:sig w:usb0="00000000" w:usb1="00000000"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eastAsia="仿宋"/>
        <w:sz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rFonts w:eastAsia="仿宋"/>
                              <w:sz w:val="18"/>
                            </w:rPr>
                          </w:pPr>
                          <w:r>
                            <w:rPr>
                              <w:rFonts w:hint="eastAsia" w:eastAsia="仿宋"/>
                              <w:sz w:val="18"/>
                            </w:rPr>
                            <w:fldChar w:fldCharType="begin"/>
                          </w:r>
                          <w:r>
                            <w:rPr>
                              <w:rFonts w:hint="eastAsia" w:eastAsia="仿宋"/>
                              <w:sz w:val="18"/>
                            </w:rPr>
                            <w:instrText xml:space="preserve"> PAGE  \* MERGEFORMAT </w:instrText>
                          </w:r>
                          <w:r>
                            <w:rPr>
                              <w:rFonts w:hint="eastAsia" w:eastAsia="仿宋"/>
                              <w:sz w:val="18"/>
                            </w:rPr>
                            <w:fldChar w:fldCharType="separate"/>
                          </w:r>
                          <w:r>
                            <w:rPr>
                              <w:rFonts w:eastAsia="仿宋"/>
                              <w:sz w:val="18"/>
                            </w:rPr>
                            <w:t>2</w:t>
                          </w:r>
                          <w:r>
                            <w:rPr>
                              <w:rFonts w:hint="eastAsia" w:eastAsia="仿宋"/>
                              <w:sz w:val="18"/>
                            </w:rPr>
                            <w:fldChar w:fldCharType="end"/>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D85Je0sQEA&#10;AFkDAAAOAAAAAAAAAAEAIAAAAB4BAABkcnMvZTJvRG9jLnhtbFBLBQYAAAAABgAGAFkBAABBBQAA&#10;AAA=&#10;">
              <v:fill on="f" focussize="0,0"/>
              <v:stroke on="f"/>
              <v:imagedata o:title=""/>
              <o:lock v:ext="edit" aspectratio="f"/>
              <v:textbox inset="0mm,0mm,0mm,0mm" style="mso-fit-shape-to-text:t;">
                <w:txbxContent>
                  <w:p>
                    <w:pPr>
                      <w:snapToGrid w:val="0"/>
                      <w:rPr>
                        <w:rFonts w:eastAsia="仿宋"/>
                        <w:sz w:val="18"/>
                      </w:rPr>
                    </w:pPr>
                    <w:r>
                      <w:rPr>
                        <w:rFonts w:hint="eastAsia" w:eastAsia="仿宋"/>
                        <w:sz w:val="18"/>
                      </w:rPr>
                      <w:fldChar w:fldCharType="begin"/>
                    </w:r>
                    <w:r>
                      <w:rPr>
                        <w:rFonts w:hint="eastAsia" w:eastAsia="仿宋"/>
                        <w:sz w:val="18"/>
                      </w:rPr>
                      <w:instrText xml:space="preserve"> PAGE  \* MERGEFORMAT </w:instrText>
                    </w:r>
                    <w:r>
                      <w:rPr>
                        <w:rFonts w:hint="eastAsia" w:eastAsia="仿宋"/>
                        <w:sz w:val="18"/>
                      </w:rPr>
                      <w:fldChar w:fldCharType="separate"/>
                    </w:r>
                    <w:r>
                      <w:rPr>
                        <w:rFonts w:eastAsia="仿宋"/>
                        <w:sz w:val="18"/>
                      </w:rPr>
                      <w:t>2</w:t>
                    </w:r>
                    <w:r>
                      <w:rPr>
                        <w:rFonts w:hint="eastAsia" w:eastAsia="仿宋"/>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right="360"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- 28 -</w:t>
                          </w:r>
                          <w:r>
                            <w:rPr>
                              <w:rFonts w:hint="eastAsia"/>
                              <w:sz w:val="18"/>
                            </w:rPr>
                            <w:fldChar w:fldCharType="end"/>
                          </w:r>
                        </w:p>
                      </w:txbxContent>
                    </wps:txbx>
                    <wps:bodyPr wrap="none" lIns="0" tIns="0" rIns="0" bIns="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zql5uc8AAAAF&#10;AQAADwAAAAAAAAABACAAAAAiAAAAZHJzL2Rvd25yZXYueG1sUEsBAhQAFAAAAAgAh07iQBIgdAKz&#10;AQAAWgMAAA4AAAAAAAAAAQAgAAAAHgEAAGRycy9lMm9Eb2MueG1sUEsFBgAAAAAGAAYAWQEAAEMF&#10;AAAAAA==&#10;">
              <v:fill on="f" focussize="0,0"/>
              <v:stroke on="f"/>
              <v:imagedata o:title=""/>
              <o:lock v:ext="edit" aspectratio="f"/>
              <v:textbox inset="0mm,0mm,0mm,0mm" style="mso-fit-shape-to-text:t;">
                <w:txbxContent>
                  <w:p>
                    <w:pPr>
                      <w:snapToGrid w:val="0"/>
                      <w:ind w:firstLine="36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- 28 -</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left"/>
      <w:rPr>
        <w:rFonts w:ascii="方正仿宋_GBK" w:hAnsi="方正仿宋_GBK" w:eastAsia="仿宋" w:cs="方正仿宋_GBK"/>
        <w:sz w:val="21"/>
        <w:szCs w:val="21"/>
      </w:rPr>
    </w:pPr>
    <w:r>
      <w:rPr>
        <w:rFonts w:hint="eastAsia" w:ascii="方正仿宋_GBK" w:hAnsi="方正仿宋_GBK" w:eastAsia="仿宋" w:cs="方正仿宋_GBK"/>
        <w:sz w:val="21"/>
        <w:szCs w:val="21"/>
      </w:rPr>
      <w:t>重庆市巴南区</w:t>
    </w:r>
    <w:r>
      <w:rPr>
        <w:rFonts w:hint="eastAsia" w:ascii="方正仿宋_GBK" w:hAnsi="方正仿宋_GBK" w:eastAsia="仿宋" w:cs="方正仿宋_GBK"/>
        <w:sz w:val="21"/>
        <w:szCs w:val="21"/>
        <w:lang w:eastAsia="zh-CN"/>
      </w:rPr>
      <w:t>第二人民医院</w:t>
    </w:r>
    <w:r>
      <w:rPr>
        <w:rFonts w:hint="eastAsia" w:ascii="方正仿宋_GBK" w:hAnsi="方正仿宋_GBK" w:eastAsia="仿宋" w:cs="方正仿宋_GBK"/>
        <w:sz w:val="21"/>
        <w:szCs w:val="21"/>
      </w:rPr>
      <w:t xml:space="preserve">                                                   </w:t>
    </w:r>
    <w:r>
      <w:rPr>
        <w:rFonts w:hint="eastAsia" w:ascii="方正仿宋_GBK" w:hAnsi="方正仿宋_GBK" w:eastAsia="仿宋" w:cs="方正仿宋_GBK"/>
        <w:sz w:val="21"/>
        <w:szCs w:val="21"/>
        <w:lang w:eastAsia="zh-CN"/>
      </w:rPr>
      <w:t>遴选</w:t>
    </w:r>
    <w:r>
      <w:rPr>
        <w:rFonts w:hint="eastAsia" w:ascii="方正仿宋_GBK" w:hAnsi="方正仿宋_GBK" w:eastAsia="仿宋" w:cs="方正仿宋_GBK"/>
        <w:sz w:val="21"/>
        <w:szCs w:val="21"/>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ind w:firstLine="105" w:firstLineChars="50"/>
      <w:jc w:val="both"/>
      <w:rPr>
        <w:rFonts w:ascii="仿宋" w:hAnsi="仿宋" w:eastAsia="仿宋" w:cs="仿宋"/>
      </w:rPr>
    </w:pPr>
    <w:r>
      <w:rPr>
        <w:rFonts w:hint="eastAsia" w:ascii="仿宋" w:hAnsi="仿宋" w:eastAsia="仿宋" w:cs="仿宋"/>
        <w:sz w:val="21"/>
        <w:szCs w:val="21"/>
      </w:rPr>
      <w:t>重庆市巴南区</w:t>
    </w:r>
    <w:r>
      <w:rPr>
        <w:rFonts w:hint="eastAsia" w:ascii="仿宋" w:hAnsi="仿宋" w:eastAsia="仿宋" w:cs="仿宋"/>
        <w:sz w:val="21"/>
        <w:szCs w:val="21"/>
        <w:lang w:eastAsia="zh-CN"/>
      </w:rPr>
      <w:t>第二人民医院</w:t>
    </w:r>
    <w:r>
      <w:rPr>
        <w:rFonts w:hint="eastAsia" w:ascii="仿宋" w:hAnsi="仿宋" w:eastAsia="仿宋" w:cs="仿宋"/>
        <w:sz w:val="21"/>
        <w:szCs w:val="21"/>
      </w:rPr>
      <w:t xml:space="preserve">                                                 </w:t>
    </w:r>
    <w:r>
      <w:rPr>
        <w:rFonts w:hint="eastAsia" w:ascii="方正仿宋_GBK" w:hAnsi="方正仿宋_GBK" w:eastAsia="仿宋" w:cs="方正仿宋_GBK"/>
        <w:sz w:val="21"/>
        <w:szCs w:val="21"/>
        <w:lang w:eastAsia="zh-CN"/>
      </w:rPr>
      <w:t>遴选</w:t>
    </w:r>
    <w:r>
      <w:rPr>
        <w:rFonts w:hint="eastAsia" w:ascii="方正仿宋_GBK" w:hAnsi="方正仿宋_GBK" w:eastAsia="仿宋" w:cs="方正仿宋_GBK"/>
        <w:sz w:val="21"/>
        <w:szCs w:val="21"/>
      </w:rPr>
      <w:t>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both"/>
      <w:rPr>
        <w:rFonts w:ascii="方正仿宋_GBK"/>
        <w:sz w:val="21"/>
        <w:szCs w:val="21"/>
      </w:rPr>
    </w:pPr>
    <w:r>
      <w:rPr>
        <w:rFonts w:hint="eastAsia" w:ascii="方正仿宋_GBK"/>
        <w:sz w:val="21"/>
        <w:szCs w:val="21"/>
      </w:rPr>
      <w:t xml:space="preserve">                                                                          </w:t>
    </w:r>
    <w:r>
      <w:rPr>
        <w:rFonts w:hint="eastAsia" w:ascii="方正仿宋_GBK"/>
        <w:sz w:val="21"/>
        <w:szCs w:val="21"/>
        <w:lang w:eastAsia="zh-CN"/>
      </w:rPr>
      <w:t>遴选</w:t>
    </w:r>
    <w:r>
      <w:rPr>
        <w:rFonts w:hint="eastAsia" w:ascii="方正仿宋_GBK"/>
        <w:sz w:val="21"/>
        <w:szCs w:val="21"/>
      </w:rPr>
      <w:t>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dit="readOnly"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1OThhOWI5OWE5MmE2NzM0OGE5MDNkY2U5YjI3OTgifQ=="/>
  </w:docVars>
  <w:rsids>
    <w:rsidRoot w:val="40C93C2C"/>
    <w:rsid w:val="00001BBA"/>
    <w:rsid w:val="0003371E"/>
    <w:rsid w:val="00035579"/>
    <w:rsid w:val="000443FC"/>
    <w:rsid w:val="00047F4D"/>
    <w:rsid w:val="00072066"/>
    <w:rsid w:val="000738D8"/>
    <w:rsid w:val="00075943"/>
    <w:rsid w:val="00077897"/>
    <w:rsid w:val="0008284F"/>
    <w:rsid w:val="00091FEA"/>
    <w:rsid w:val="000965EE"/>
    <w:rsid w:val="000B2480"/>
    <w:rsid w:val="000C3D09"/>
    <w:rsid w:val="000D3AFA"/>
    <w:rsid w:val="000F145F"/>
    <w:rsid w:val="000F3332"/>
    <w:rsid w:val="00155303"/>
    <w:rsid w:val="0015548F"/>
    <w:rsid w:val="00162C52"/>
    <w:rsid w:val="001704A3"/>
    <w:rsid w:val="0018549B"/>
    <w:rsid w:val="0019140F"/>
    <w:rsid w:val="001957E0"/>
    <w:rsid w:val="00196664"/>
    <w:rsid w:val="00196F1F"/>
    <w:rsid w:val="001A5733"/>
    <w:rsid w:val="001A5A7D"/>
    <w:rsid w:val="001B02F0"/>
    <w:rsid w:val="001E30C4"/>
    <w:rsid w:val="002034BC"/>
    <w:rsid w:val="00203AED"/>
    <w:rsid w:val="002231E8"/>
    <w:rsid w:val="00237EBB"/>
    <w:rsid w:val="00244B36"/>
    <w:rsid w:val="00250893"/>
    <w:rsid w:val="00271429"/>
    <w:rsid w:val="00287DC0"/>
    <w:rsid w:val="00292A24"/>
    <w:rsid w:val="002B01E8"/>
    <w:rsid w:val="002B38BB"/>
    <w:rsid w:val="002B48D7"/>
    <w:rsid w:val="002B7C8D"/>
    <w:rsid w:val="002C6518"/>
    <w:rsid w:val="002D170A"/>
    <w:rsid w:val="002D744B"/>
    <w:rsid w:val="002E6741"/>
    <w:rsid w:val="002F7DBC"/>
    <w:rsid w:val="0030015C"/>
    <w:rsid w:val="0030371C"/>
    <w:rsid w:val="0031205E"/>
    <w:rsid w:val="0031364C"/>
    <w:rsid w:val="00326D37"/>
    <w:rsid w:val="00330559"/>
    <w:rsid w:val="003479AD"/>
    <w:rsid w:val="00351DD2"/>
    <w:rsid w:val="00353FA3"/>
    <w:rsid w:val="00354EF3"/>
    <w:rsid w:val="003578DA"/>
    <w:rsid w:val="00362C84"/>
    <w:rsid w:val="00371609"/>
    <w:rsid w:val="003743E3"/>
    <w:rsid w:val="00384A9F"/>
    <w:rsid w:val="003B5524"/>
    <w:rsid w:val="003C795A"/>
    <w:rsid w:val="003D30BD"/>
    <w:rsid w:val="003E49B8"/>
    <w:rsid w:val="003F7D1E"/>
    <w:rsid w:val="00414057"/>
    <w:rsid w:val="00424CB3"/>
    <w:rsid w:val="00442E69"/>
    <w:rsid w:val="00467A37"/>
    <w:rsid w:val="0049085A"/>
    <w:rsid w:val="0049374C"/>
    <w:rsid w:val="004B3077"/>
    <w:rsid w:val="004D55F7"/>
    <w:rsid w:val="0050657D"/>
    <w:rsid w:val="005074DD"/>
    <w:rsid w:val="0054634E"/>
    <w:rsid w:val="005622EB"/>
    <w:rsid w:val="005823DE"/>
    <w:rsid w:val="005A00D4"/>
    <w:rsid w:val="005B00B3"/>
    <w:rsid w:val="005B77C1"/>
    <w:rsid w:val="005C006D"/>
    <w:rsid w:val="005E7EF2"/>
    <w:rsid w:val="006035B7"/>
    <w:rsid w:val="00665054"/>
    <w:rsid w:val="0066726E"/>
    <w:rsid w:val="00674183"/>
    <w:rsid w:val="00674CFD"/>
    <w:rsid w:val="0067578E"/>
    <w:rsid w:val="0068337C"/>
    <w:rsid w:val="00696CB4"/>
    <w:rsid w:val="006B38B0"/>
    <w:rsid w:val="006B6641"/>
    <w:rsid w:val="006D3EE4"/>
    <w:rsid w:val="006E135B"/>
    <w:rsid w:val="006E175F"/>
    <w:rsid w:val="006F7C3C"/>
    <w:rsid w:val="00700B00"/>
    <w:rsid w:val="00704233"/>
    <w:rsid w:val="00717EFB"/>
    <w:rsid w:val="00726C37"/>
    <w:rsid w:val="0073106B"/>
    <w:rsid w:val="007310B9"/>
    <w:rsid w:val="00733234"/>
    <w:rsid w:val="00745222"/>
    <w:rsid w:val="00756185"/>
    <w:rsid w:val="00771795"/>
    <w:rsid w:val="0079473D"/>
    <w:rsid w:val="007A6ED9"/>
    <w:rsid w:val="007C0407"/>
    <w:rsid w:val="007C146F"/>
    <w:rsid w:val="007C1F10"/>
    <w:rsid w:val="007D100F"/>
    <w:rsid w:val="007D40D3"/>
    <w:rsid w:val="007D515D"/>
    <w:rsid w:val="007D63FC"/>
    <w:rsid w:val="008049A0"/>
    <w:rsid w:val="008113DC"/>
    <w:rsid w:val="0081340A"/>
    <w:rsid w:val="00820D07"/>
    <w:rsid w:val="0084747E"/>
    <w:rsid w:val="00862CFE"/>
    <w:rsid w:val="00862FEF"/>
    <w:rsid w:val="00864E02"/>
    <w:rsid w:val="0087480F"/>
    <w:rsid w:val="00875DC9"/>
    <w:rsid w:val="00884CCB"/>
    <w:rsid w:val="00886203"/>
    <w:rsid w:val="00890337"/>
    <w:rsid w:val="008A6766"/>
    <w:rsid w:val="008B0511"/>
    <w:rsid w:val="008D0817"/>
    <w:rsid w:val="008D4BA3"/>
    <w:rsid w:val="008F7580"/>
    <w:rsid w:val="00902E9F"/>
    <w:rsid w:val="00921417"/>
    <w:rsid w:val="0092188F"/>
    <w:rsid w:val="00923ED6"/>
    <w:rsid w:val="00932200"/>
    <w:rsid w:val="00932D42"/>
    <w:rsid w:val="00984BFA"/>
    <w:rsid w:val="009C2CF6"/>
    <w:rsid w:val="009C4A09"/>
    <w:rsid w:val="009E004F"/>
    <w:rsid w:val="009E0760"/>
    <w:rsid w:val="00A13559"/>
    <w:rsid w:val="00A305A2"/>
    <w:rsid w:val="00A34F4D"/>
    <w:rsid w:val="00A41599"/>
    <w:rsid w:val="00A443B5"/>
    <w:rsid w:val="00A50462"/>
    <w:rsid w:val="00A51D28"/>
    <w:rsid w:val="00A57038"/>
    <w:rsid w:val="00A8111E"/>
    <w:rsid w:val="00A8118D"/>
    <w:rsid w:val="00A82E14"/>
    <w:rsid w:val="00A94272"/>
    <w:rsid w:val="00A95A43"/>
    <w:rsid w:val="00AA38C0"/>
    <w:rsid w:val="00AA5503"/>
    <w:rsid w:val="00AB3664"/>
    <w:rsid w:val="00AB7083"/>
    <w:rsid w:val="00AC02E8"/>
    <w:rsid w:val="00AE5CF8"/>
    <w:rsid w:val="00B00AB4"/>
    <w:rsid w:val="00B0219D"/>
    <w:rsid w:val="00B175C0"/>
    <w:rsid w:val="00B25671"/>
    <w:rsid w:val="00B54DF7"/>
    <w:rsid w:val="00B66180"/>
    <w:rsid w:val="00B81526"/>
    <w:rsid w:val="00BA3F67"/>
    <w:rsid w:val="00BA5F5E"/>
    <w:rsid w:val="00BD4D45"/>
    <w:rsid w:val="00BD5979"/>
    <w:rsid w:val="00BE72CD"/>
    <w:rsid w:val="00BE7A5D"/>
    <w:rsid w:val="00C013F9"/>
    <w:rsid w:val="00C03ADA"/>
    <w:rsid w:val="00C049B6"/>
    <w:rsid w:val="00C04C3D"/>
    <w:rsid w:val="00C402DB"/>
    <w:rsid w:val="00C517B3"/>
    <w:rsid w:val="00C7605F"/>
    <w:rsid w:val="00C82D92"/>
    <w:rsid w:val="00C849C0"/>
    <w:rsid w:val="00CB137E"/>
    <w:rsid w:val="00CB4E76"/>
    <w:rsid w:val="00CC21EC"/>
    <w:rsid w:val="00CC3F89"/>
    <w:rsid w:val="00CC6C95"/>
    <w:rsid w:val="00CD49F7"/>
    <w:rsid w:val="00CD582A"/>
    <w:rsid w:val="00CD5D73"/>
    <w:rsid w:val="00D0530C"/>
    <w:rsid w:val="00D05AD7"/>
    <w:rsid w:val="00D076D5"/>
    <w:rsid w:val="00D46D8F"/>
    <w:rsid w:val="00D52E5D"/>
    <w:rsid w:val="00D5361A"/>
    <w:rsid w:val="00D72445"/>
    <w:rsid w:val="00D87E8E"/>
    <w:rsid w:val="00DB25CA"/>
    <w:rsid w:val="00DB2D52"/>
    <w:rsid w:val="00DC3F03"/>
    <w:rsid w:val="00DC532D"/>
    <w:rsid w:val="00DC6508"/>
    <w:rsid w:val="00DE32B6"/>
    <w:rsid w:val="00DF1062"/>
    <w:rsid w:val="00DF1847"/>
    <w:rsid w:val="00DF7A42"/>
    <w:rsid w:val="00E06F19"/>
    <w:rsid w:val="00E12D8A"/>
    <w:rsid w:val="00E13392"/>
    <w:rsid w:val="00E16C43"/>
    <w:rsid w:val="00E40A9E"/>
    <w:rsid w:val="00E43A43"/>
    <w:rsid w:val="00E51082"/>
    <w:rsid w:val="00E52C06"/>
    <w:rsid w:val="00E66588"/>
    <w:rsid w:val="00E71BDF"/>
    <w:rsid w:val="00E8640D"/>
    <w:rsid w:val="00E93BC4"/>
    <w:rsid w:val="00E96A85"/>
    <w:rsid w:val="00ED18D5"/>
    <w:rsid w:val="00ED477A"/>
    <w:rsid w:val="00ED7017"/>
    <w:rsid w:val="00EE1F3A"/>
    <w:rsid w:val="00EF0562"/>
    <w:rsid w:val="00F07145"/>
    <w:rsid w:val="00F24690"/>
    <w:rsid w:val="00F43F91"/>
    <w:rsid w:val="00F53786"/>
    <w:rsid w:val="00F64C81"/>
    <w:rsid w:val="00F926E3"/>
    <w:rsid w:val="00FA1382"/>
    <w:rsid w:val="00FC40FB"/>
    <w:rsid w:val="00FE25D2"/>
    <w:rsid w:val="00FE39D0"/>
    <w:rsid w:val="010279D9"/>
    <w:rsid w:val="01383E04"/>
    <w:rsid w:val="014F2BF9"/>
    <w:rsid w:val="0157524E"/>
    <w:rsid w:val="015A1C08"/>
    <w:rsid w:val="016746F0"/>
    <w:rsid w:val="01677D22"/>
    <w:rsid w:val="01760AB5"/>
    <w:rsid w:val="01767DF0"/>
    <w:rsid w:val="01771D5B"/>
    <w:rsid w:val="018B0415"/>
    <w:rsid w:val="01C410ED"/>
    <w:rsid w:val="01C70025"/>
    <w:rsid w:val="01EA2131"/>
    <w:rsid w:val="01F066C2"/>
    <w:rsid w:val="01F55610"/>
    <w:rsid w:val="02016651"/>
    <w:rsid w:val="02402EC0"/>
    <w:rsid w:val="02420537"/>
    <w:rsid w:val="02484769"/>
    <w:rsid w:val="02601145"/>
    <w:rsid w:val="0280123D"/>
    <w:rsid w:val="028A36E5"/>
    <w:rsid w:val="02A0095B"/>
    <w:rsid w:val="02A02677"/>
    <w:rsid w:val="02A10DE4"/>
    <w:rsid w:val="02B61B42"/>
    <w:rsid w:val="02BC4A08"/>
    <w:rsid w:val="02E13F6D"/>
    <w:rsid w:val="02F0290C"/>
    <w:rsid w:val="0308478D"/>
    <w:rsid w:val="03215DBB"/>
    <w:rsid w:val="033E0386"/>
    <w:rsid w:val="03525480"/>
    <w:rsid w:val="0364408B"/>
    <w:rsid w:val="038F5556"/>
    <w:rsid w:val="03B17B3C"/>
    <w:rsid w:val="03E33B8C"/>
    <w:rsid w:val="03E57195"/>
    <w:rsid w:val="03FC7332"/>
    <w:rsid w:val="03FE21F6"/>
    <w:rsid w:val="041C62F5"/>
    <w:rsid w:val="041F595C"/>
    <w:rsid w:val="04253776"/>
    <w:rsid w:val="04307B30"/>
    <w:rsid w:val="0432516C"/>
    <w:rsid w:val="043D1336"/>
    <w:rsid w:val="044755B3"/>
    <w:rsid w:val="044817B9"/>
    <w:rsid w:val="044E0C6E"/>
    <w:rsid w:val="04634C76"/>
    <w:rsid w:val="046E7B7D"/>
    <w:rsid w:val="047C69AB"/>
    <w:rsid w:val="04887AAC"/>
    <w:rsid w:val="048E150A"/>
    <w:rsid w:val="04A763EF"/>
    <w:rsid w:val="04AA0046"/>
    <w:rsid w:val="04B750FF"/>
    <w:rsid w:val="04C63186"/>
    <w:rsid w:val="04DA1B93"/>
    <w:rsid w:val="04E119F2"/>
    <w:rsid w:val="04F17CDF"/>
    <w:rsid w:val="04FD1264"/>
    <w:rsid w:val="050749F2"/>
    <w:rsid w:val="050B2FD3"/>
    <w:rsid w:val="05150164"/>
    <w:rsid w:val="051667F9"/>
    <w:rsid w:val="052B5442"/>
    <w:rsid w:val="054264E4"/>
    <w:rsid w:val="054B1622"/>
    <w:rsid w:val="054C57E7"/>
    <w:rsid w:val="05603D62"/>
    <w:rsid w:val="05686403"/>
    <w:rsid w:val="057250EE"/>
    <w:rsid w:val="057F564B"/>
    <w:rsid w:val="058F4061"/>
    <w:rsid w:val="05956E68"/>
    <w:rsid w:val="05A416E1"/>
    <w:rsid w:val="05A5042F"/>
    <w:rsid w:val="05AD31CE"/>
    <w:rsid w:val="05B97F22"/>
    <w:rsid w:val="05CA210C"/>
    <w:rsid w:val="05CE632E"/>
    <w:rsid w:val="05D07EE5"/>
    <w:rsid w:val="061640A4"/>
    <w:rsid w:val="0633527A"/>
    <w:rsid w:val="06410E51"/>
    <w:rsid w:val="0648044E"/>
    <w:rsid w:val="066261CA"/>
    <w:rsid w:val="06634C7E"/>
    <w:rsid w:val="06735FD7"/>
    <w:rsid w:val="06792DD5"/>
    <w:rsid w:val="067E7DEF"/>
    <w:rsid w:val="0695635D"/>
    <w:rsid w:val="069947CA"/>
    <w:rsid w:val="06A81B03"/>
    <w:rsid w:val="06CE1AAF"/>
    <w:rsid w:val="06DA7052"/>
    <w:rsid w:val="06F62DD7"/>
    <w:rsid w:val="06F66EA1"/>
    <w:rsid w:val="07255051"/>
    <w:rsid w:val="072F431D"/>
    <w:rsid w:val="07310258"/>
    <w:rsid w:val="0757791A"/>
    <w:rsid w:val="07737A50"/>
    <w:rsid w:val="077869DB"/>
    <w:rsid w:val="077E496D"/>
    <w:rsid w:val="079218FE"/>
    <w:rsid w:val="079917ED"/>
    <w:rsid w:val="079B3A16"/>
    <w:rsid w:val="07B83A96"/>
    <w:rsid w:val="07B96411"/>
    <w:rsid w:val="07D37FD5"/>
    <w:rsid w:val="07E43A81"/>
    <w:rsid w:val="07E459B1"/>
    <w:rsid w:val="07F44CA4"/>
    <w:rsid w:val="08061D80"/>
    <w:rsid w:val="080816EE"/>
    <w:rsid w:val="080A7480"/>
    <w:rsid w:val="080D7A6E"/>
    <w:rsid w:val="083657FB"/>
    <w:rsid w:val="08381F25"/>
    <w:rsid w:val="08385375"/>
    <w:rsid w:val="083D27F3"/>
    <w:rsid w:val="08447953"/>
    <w:rsid w:val="08545A1E"/>
    <w:rsid w:val="086069BB"/>
    <w:rsid w:val="086A6A25"/>
    <w:rsid w:val="087B7477"/>
    <w:rsid w:val="0884738C"/>
    <w:rsid w:val="088578D6"/>
    <w:rsid w:val="08897A3F"/>
    <w:rsid w:val="089538A4"/>
    <w:rsid w:val="08B639AB"/>
    <w:rsid w:val="08B931D6"/>
    <w:rsid w:val="08D6249A"/>
    <w:rsid w:val="090717EE"/>
    <w:rsid w:val="091C7001"/>
    <w:rsid w:val="092B1932"/>
    <w:rsid w:val="094E33C8"/>
    <w:rsid w:val="094F62FF"/>
    <w:rsid w:val="09504B83"/>
    <w:rsid w:val="09545647"/>
    <w:rsid w:val="09574FC9"/>
    <w:rsid w:val="09575B61"/>
    <w:rsid w:val="09707B94"/>
    <w:rsid w:val="09716C57"/>
    <w:rsid w:val="098965C9"/>
    <w:rsid w:val="09993053"/>
    <w:rsid w:val="09AA4B46"/>
    <w:rsid w:val="09AA55A6"/>
    <w:rsid w:val="09BB2234"/>
    <w:rsid w:val="09C43F96"/>
    <w:rsid w:val="09DD6F59"/>
    <w:rsid w:val="09F139B6"/>
    <w:rsid w:val="0A0B6679"/>
    <w:rsid w:val="0A147E07"/>
    <w:rsid w:val="0A3F501F"/>
    <w:rsid w:val="0A41307A"/>
    <w:rsid w:val="0A640151"/>
    <w:rsid w:val="0A6B1B3B"/>
    <w:rsid w:val="0A6B46B7"/>
    <w:rsid w:val="0A8E517A"/>
    <w:rsid w:val="0A916B10"/>
    <w:rsid w:val="0A9D0E4A"/>
    <w:rsid w:val="0AA7409F"/>
    <w:rsid w:val="0AE24125"/>
    <w:rsid w:val="0AFA16EA"/>
    <w:rsid w:val="0B046A7D"/>
    <w:rsid w:val="0B106A66"/>
    <w:rsid w:val="0B1A6417"/>
    <w:rsid w:val="0B1F2B63"/>
    <w:rsid w:val="0B281DDC"/>
    <w:rsid w:val="0B37498A"/>
    <w:rsid w:val="0B4A0702"/>
    <w:rsid w:val="0B565A87"/>
    <w:rsid w:val="0B565E12"/>
    <w:rsid w:val="0B731D84"/>
    <w:rsid w:val="0B782745"/>
    <w:rsid w:val="0B7A6950"/>
    <w:rsid w:val="0B890535"/>
    <w:rsid w:val="0B894B7C"/>
    <w:rsid w:val="0B9569A0"/>
    <w:rsid w:val="0B981162"/>
    <w:rsid w:val="0BBA00D3"/>
    <w:rsid w:val="0BBA6364"/>
    <w:rsid w:val="0BC33CF1"/>
    <w:rsid w:val="0BD14CC5"/>
    <w:rsid w:val="0BD229F1"/>
    <w:rsid w:val="0BD748FD"/>
    <w:rsid w:val="0C2301DA"/>
    <w:rsid w:val="0C271F1A"/>
    <w:rsid w:val="0C2A1865"/>
    <w:rsid w:val="0C2D4207"/>
    <w:rsid w:val="0C4135AB"/>
    <w:rsid w:val="0C535558"/>
    <w:rsid w:val="0C653B44"/>
    <w:rsid w:val="0C767178"/>
    <w:rsid w:val="0C80385F"/>
    <w:rsid w:val="0C8274E1"/>
    <w:rsid w:val="0C947A74"/>
    <w:rsid w:val="0CA060DB"/>
    <w:rsid w:val="0CAA6660"/>
    <w:rsid w:val="0CDB38BE"/>
    <w:rsid w:val="0CE642FD"/>
    <w:rsid w:val="0CEB6E50"/>
    <w:rsid w:val="0D0F50DE"/>
    <w:rsid w:val="0D123DAD"/>
    <w:rsid w:val="0D2678EF"/>
    <w:rsid w:val="0D2C1440"/>
    <w:rsid w:val="0D3D3362"/>
    <w:rsid w:val="0D4C6C38"/>
    <w:rsid w:val="0D637261"/>
    <w:rsid w:val="0D6A6D48"/>
    <w:rsid w:val="0D6B473B"/>
    <w:rsid w:val="0D7936EE"/>
    <w:rsid w:val="0D8D79D7"/>
    <w:rsid w:val="0DA755E0"/>
    <w:rsid w:val="0DB959FB"/>
    <w:rsid w:val="0DBF479B"/>
    <w:rsid w:val="0DC0699C"/>
    <w:rsid w:val="0DC87EB8"/>
    <w:rsid w:val="0DCF2E4D"/>
    <w:rsid w:val="0DD926DA"/>
    <w:rsid w:val="0DE021A4"/>
    <w:rsid w:val="0DE564AD"/>
    <w:rsid w:val="0DF94A87"/>
    <w:rsid w:val="0E1645CD"/>
    <w:rsid w:val="0E166AA4"/>
    <w:rsid w:val="0E296A53"/>
    <w:rsid w:val="0E371F9B"/>
    <w:rsid w:val="0E3A6F1A"/>
    <w:rsid w:val="0E3C0D54"/>
    <w:rsid w:val="0E3F63E9"/>
    <w:rsid w:val="0E566686"/>
    <w:rsid w:val="0E5C577C"/>
    <w:rsid w:val="0E616184"/>
    <w:rsid w:val="0E6E4728"/>
    <w:rsid w:val="0E6F6BDF"/>
    <w:rsid w:val="0E8954E9"/>
    <w:rsid w:val="0E9070CF"/>
    <w:rsid w:val="0EA40291"/>
    <w:rsid w:val="0EA77815"/>
    <w:rsid w:val="0EAB02E0"/>
    <w:rsid w:val="0EAE7D74"/>
    <w:rsid w:val="0EB16063"/>
    <w:rsid w:val="0EB96541"/>
    <w:rsid w:val="0EC50B88"/>
    <w:rsid w:val="0ED7162C"/>
    <w:rsid w:val="0EDC2F3B"/>
    <w:rsid w:val="0EE62986"/>
    <w:rsid w:val="0EF50F52"/>
    <w:rsid w:val="0F051D41"/>
    <w:rsid w:val="0F0778E1"/>
    <w:rsid w:val="0F2605FA"/>
    <w:rsid w:val="0F2A5FF8"/>
    <w:rsid w:val="0F2B11BE"/>
    <w:rsid w:val="0F2C4D2D"/>
    <w:rsid w:val="0F2E2FD4"/>
    <w:rsid w:val="0F2E7E64"/>
    <w:rsid w:val="0F2F1258"/>
    <w:rsid w:val="0F311FF6"/>
    <w:rsid w:val="0F412B53"/>
    <w:rsid w:val="0F4168EE"/>
    <w:rsid w:val="0F501C09"/>
    <w:rsid w:val="0F5920DD"/>
    <w:rsid w:val="0F59642D"/>
    <w:rsid w:val="0F68792A"/>
    <w:rsid w:val="0F944496"/>
    <w:rsid w:val="0F9C5445"/>
    <w:rsid w:val="0FAB6F93"/>
    <w:rsid w:val="0FB06A76"/>
    <w:rsid w:val="0FB14946"/>
    <w:rsid w:val="0FB219ED"/>
    <w:rsid w:val="0FB90AE1"/>
    <w:rsid w:val="0FC23750"/>
    <w:rsid w:val="0FC75875"/>
    <w:rsid w:val="0FCE556B"/>
    <w:rsid w:val="0FD77509"/>
    <w:rsid w:val="0FD8251E"/>
    <w:rsid w:val="0FF514D4"/>
    <w:rsid w:val="101A082E"/>
    <w:rsid w:val="103804C5"/>
    <w:rsid w:val="10512649"/>
    <w:rsid w:val="106557CD"/>
    <w:rsid w:val="10662F99"/>
    <w:rsid w:val="106C6CC8"/>
    <w:rsid w:val="107416A2"/>
    <w:rsid w:val="107E0C99"/>
    <w:rsid w:val="1084225D"/>
    <w:rsid w:val="10906703"/>
    <w:rsid w:val="10935107"/>
    <w:rsid w:val="1097001C"/>
    <w:rsid w:val="10A54B90"/>
    <w:rsid w:val="10B23DB6"/>
    <w:rsid w:val="10C9030A"/>
    <w:rsid w:val="10C957B0"/>
    <w:rsid w:val="10D313A9"/>
    <w:rsid w:val="10EF6ECA"/>
    <w:rsid w:val="10F6418F"/>
    <w:rsid w:val="111F2BA3"/>
    <w:rsid w:val="112E764C"/>
    <w:rsid w:val="11364D36"/>
    <w:rsid w:val="114A07B2"/>
    <w:rsid w:val="115117C7"/>
    <w:rsid w:val="11522FB8"/>
    <w:rsid w:val="11755598"/>
    <w:rsid w:val="11777F12"/>
    <w:rsid w:val="11A27A3D"/>
    <w:rsid w:val="11A46BA8"/>
    <w:rsid w:val="11AB7F2F"/>
    <w:rsid w:val="11AF7974"/>
    <w:rsid w:val="11B07944"/>
    <w:rsid w:val="11B15666"/>
    <w:rsid w:val="11B3004F"/>
    <w:rsid w:val="11B95D68"/>
    <w:rsid w:val="11C56BB4"/>
    <w:rsid w:val="11D0607A"/>
    <w:rsid w:val="11E23F66"/>
    <w:rsid w:val="11F81312"/>
    <w:rsid w:val="1205621C"/>
    <w:rsid w:val="12072EA1"/>
    <w:rsid w:val="120B1CE1"/>
    <w:rsid w:val="12134D18"/>
    <w:rsid w:val="122D552A"/>
    <w:rsid w:val="12460326"/>
    <w:rsid w:val="12472C82"/>
    <w:rsid w:val="124D74D8"/>
    <w:rsid w:val="12590DDF"/>
    <w:rsid w:val="127A2C8B"/>
    <w:rsid w:val="127E28D0"/>
    <w:rsid w:val="1287113B"/>
    <w:rsid w:val="12A3680D"/>
    <w:rsid w:val="12BE74A2"/>
    <w:rsid w:val="12CC1A9F"/>
    <w:rsid w:val="12DE37CA"/>
    <w:rsid w:val="12E22A42"/>
    <w:rsid w:val="12F3489F"/>
    <w:rsid w:val="130E5D37"/>
    <w:rsid w:val="1319122A"/>
    <w:rsid w:val="13191FB4"/>
    <w:rsid w:val="131B1C0A"/>
    <w:rsid w:val="1326221F"/>
    <w:rsid w:val="1329211C"/>
    <w:rsid w:val="134767CE"/>
    <w:rsid w:val="13515C6F"/>
    <w:rsid w:val="135B2389"/>
    <w:rsid w:val="13646713"/>
    <w:rsid w:val="1369338C"/>
    <w:rsid w:val="13DA78FC"/>
    <w:rsid w:val="13F60D71"/>
    <w:rsid w:val="14047920"/>
    <w:rsid w:val="141324B8"/>
    <w:rsid w:val="14174643"/>
    <w:rsid w:val="141A1344"/>
    <w:rsid w:val="141E3891"/>
    <w:rsid w:val="14262E9B"/>
    <w:rsid w:val="142B21B3"/>
    <w:rsid w:val="142F1C51"/>
    <w:rsid w:val="1438137D"/>
    <w:rsid w:val="14567CD7"/>
    <w:rsid w:val="14630F64"/>
    <w:rsid w:val="147E41BE"/>
    <w:rsid w:val="148C68FC"/>
    <w:rsid w:val="14B3676D"/>
    <w:rsid w:val="14C16DCA"/>
    <w:rsid w:val="14DA3589"/>
    <w:rsid w:val="14E03344"/>
    <w:rsid w:val="14EC4497"/>
    <w:rsid w:val="14EF7735"/>
    <w:rsid w:val="15074CDC"/>
    <w:rsid w:val="15334DEF"/>
    <w:rsid w:val="15445C19"/>
    <w:rsid w:val="15465150"/>
    <w:rsid w:val="1570285F"/>
    <w:rsid w:val="15925129"/>
    <w:rsid w:val="15AE41BE"/>
    <w:rsid w:val="15C61793"/>
    <w:rsid w:val="15FB06EE"/>
    <w:rsid w:val="15FC29A5"/>
    <w:rsid w:val="15FD18D8"/>
    <w:rsid w:val="161E429C"/>
    <w:rsid w:val="16443619"/>
    <w:rsid w:val="164B4D9F"/>
    <w:rsid w:val="16500E7E"/>
    <w:rsid w:val="16636F9F"/>
    <w:rsid w:val="1677276B"/>
    <w:rsid w:val="16876714"/>
    <w:rsid w:val="16931C57"/>
    <w:rsid w:val="16A8316B"/>
    <w:rsid w:val="16D00771"/>
    <w:rsid w:val="16D827B4"/>
    <w:rsid w:val="16D86495"/>
    <w:rsid w:val="16DC3E6F"/>
    <w:rsid w:val="170B0999"/>
    <w:rsid w:val="17111E96"/>
    <w:rsid w:val="171B48F8"/>
    <w:rsid w:val="17384D65"/>
    <w:rsid w:val="174B278C"/>
    <w:rsid w:val="174D13DC"/>
    <w:rsid w:val="174F4176"/>
    <w:rsid w:val="17521752"/>
    <w:rsid w:val="175468B3"/>
    <w:rsid w:val="17675BE5"/>
    <w:rsid w:val="176C42C2"/>
    <w:rsid w:val="177254AE"/>
    <w:rsid w:val="178831DB"/>
    <w:rsid w:val="178B727D"/>
    <w:rsid w:val="17915058"/>
    <w:rsid w:val="179B4647"/>
    <w:rsid w:val="17AD27E8"/>
    <w:rsid w:val="17D91A12"/>
    <w:rsid w:val="17DC4AC3"/>
    <w:rsid w:val="17DE2FB7"/>
    <w:rsid w:val="17E801FE"/>
    <w:rsid w:val="17F80177"/>
    <w:rsid w:val="17F83F44"/>
    <w:rsid w:val="18003820"/>
    <w:rsid w:val="18016986"/>
    <w:rsid w:val="18083050"/>
    <w:rsid w:val="180C72BC"/>
    <w:rsid w:val="1828358E"/>
    <w:rsid w:val="18297C98"/>
    <w:rsid w:val="182A2EC1"/>
    <w:rsid w:val="183F74A9"/>
    <w:rsid w:val="1842004B"/>
    <w:rsid w:val="18450DB8"/>
    <w:rsid w:val="18471246"/>
    <w:rsid w:val="185E3E5E"/>
    <w:rsid w:val="18805CA9"/>
    <w:rsid w:val="18883AAC"/>
    <w:rsid w:val="189027F5"/>
    <w:rsid w:val="18961D72"/>
    <w:rsid w:val="18971FCF"/>
    <w:rsid w:val="18974E66"/>
    <w:rsid w:val="18AE05D8"/>
    <w:rsid w:val="18AE2549"/>
    <w:rsid w:val="18B20138"/>
    <w:rsid w:val="18DD06A1"/>
    <w:rsid w:val="18F76F56"/>
    <w:rsid w:val="19003311"/>
    <w:rsid w:val="19162CB4"/>
    <w:rsid w:val="193D41F8"/>
    <w:rsid w:val="19633697"/>
    <w:rsid w:val="19696F3B"/>
    <w:rsid w:val="196E3277"/>
    <w:rsid w:val="197020C9"/>
    <w:rsid w:val="19791782"/>
    <w:rsid w:val="19796783"/>
    <w:rsid w:val="19963B0C"/>
    <w:rsid w:val="19B64DBC"/>
    <w:rsid w:val="19CE7E98"/>
    <w:rsid w:val="19DC2C4D"/>
    <w:rsid w:val="19ED0C30"/>
    <w:rsid w:val="19F631DB"/>
    <w:rsid w:val="19FD05C4"/>
    <w:rsid w:val="19FF2193"/>
    <w:rsid w:val="1A127975"/>
    <w:rsid w:val="1A35305B"/>
    <w:rsid w:val="1A3D4028"/>
    <w:rsid w:val="1A4B2512"/>
    <w:rsid w:val="1A4F6A6D"/>
    <w:rsid w:val="1A5B42E4"/>
    <w:rsid w:val="1A687285"/>
    <w:rsid w:val="1A7E0E74"/>
    <w:rsid w:val="1A8B167A"/>
    <w:rsid w:val="1A9212A7"/>
    <w:rsid w:val="1A9255FF"/>
    <w:rsid w:val="1AA3538D"/>
    <w:rsid w:val="1ABD562B"/>
    <w:rsid w:val="1AC748A9"/>
    <w:rsid w:val="1ACD57D8"/>
    <w:rsid w:val="1ACF5964"/>
    <w:rsid w:val="1AD64380"/>
    <w:rsid w:val="1AD7720E"/>
    <w:rsid w:val="1AE93850"/>
    <w:rsid w:val="1B201BA8"/>
    <w:rsid w:val="1B2F52C1"/>
    <w:rsid w:val="1B446A63"/>
    <w:rsid w:val="1B5F3BA9"/>
    <w:rsid w:val="1B7C4CBC"/>
    <w:rsid w:val="1BA20319"/>
    <w:rsid w:val="1BA8064B"/>
    <w:rsid w:val="1BB31DC9"/>
    <w:rsid w:val="1BD546D0"/>
    <w:rsid w:val="1BD92CE5"/>
    <w:rsid w:val="1BE23B37"/>
    <w:rsid w:val="1BE44770"/>
    <w:rsid w:val="1C0E0FE8"/>
    <w:rsid w:val="1C390072"/>
    <w:rsid w:val="1C3E461E"/>
    <w:rsid w:val="1C440099"/>
    <w:rsid w:val="1C513C3F"/>
    <w:rsid w:val="1C552CB4"/>
    <w:rsid w:val="1C5B535A"/>
    <w:rsid w:val="1C5D4700"/>
    <w:rsid w:val="1C6D3D32"/>
    <w:rsid w:val="1C6D6F90"/>
    <w:rsid w:val="1C714856"/>
    <w:rsid w:val="1CA2209A"/>
    <w:rsid w:val="1CB60284"/>
    <w:rsid w:val="1CC17CA3"/>
    <w:rsid w:val="1CE90020"/>
    <w:rsid w:val="1CEA6411"/>
    <w:rsid w:val="1D017EAC"/>
    <w:rsid w:val="1D024550"/>
    <w:rsid w:val="1D0C1AA0"/>
    <w:rsid w:val="1D0F7F68"/>
    <w:rsid w:val="1D211A07"/>
    <w:rsid w:val="1D2A6B5E"/>
    <w:rsid w:val="1D300695"/>
    <w:rsid w:val="1D404CCB"/>
    <w:rsid w:val="1D4C3EAC"/>
    <w:rsid w:val="1D640CBD"/>
    <w:rsid w:val="1D7160E1"/>
    <w:rsid w:val="1D7420BB"/>
    <w:rsid w:val="1D77128B"/>
    <w:rsid w:val="1D7A465E"/>
    <w:rsid w:val="1D90417C"/>
    <w:rsid w:val="1DA62814"/>
    <w:rsid w:val="1DAC7417"/>
    <w:rsid w:val="1DB0454D"/>
    <w:rsid w:val="1DBA3A88"/>
    <w:rsid w:val="1DD400FF"/>
    <w:rsid w:val="1DDE688F"/>
    <w:rsid w:val="1DEA4B40"/>
    <w:rsid w:val="1DF96CE6"/>
    <w:rsid w:val="1E0C2468"/>
    <w:rsid w:val="1E100DEB"/>
    <w:rsid w:val="1E124355"/>
    <w:rsid w:val="1E1F5B59"/>
    <w:rsid w:val="1E246F2E"/>
    <w:rsid w:val="1E350532"/>
    <w:rsid w:val="1E3A4F0E"/>
    <w:rsid w:val="1E513EF5"/>
    <w:rsid w:val="1E5C14EF"/>
    <w:rsid w:val="1E605AC7"/>
    <w:rsid w:val="1E687E27"/>
    <w:rsid w:val="1E7B4161"/>
    <w:rsid w:val="1E855897"/>
    <w:rsid w:val="1E8662A1"/>
    <w:rsid w:val="1E9274EE"/>
    <w:rsid w:val="1E976387"/>
    <w:rsid w:val="1EA05F78"/>
    <w:rsid w:val="1EA17076"/>
    <w:rsid w:val="1EA30377"/>
    <w:rsid w:val="1EAC5CF0"/>
    <w:rsid w:val="1EAD74A2"/>
    <w:rsid w:val="1EC02DEE"/>
    <w:rsid w:val="1EC61C90"/>
    <w:rsid w:val="1ED33DF7"/>
    <w:rsid w:val="1ED51EC0"/>
    <w:rsid w:val="1EDF2AC3"/>
    <w:rsid w:val="1EEC6C9C"/>
    <w:rsid w:val="1EED41C7"/>
    <w:rsid w:val="1EEF27F7"/>
    <w:rsid w:val="1EFF65BD"/>
    <w:rsid w:val="1F0301E8"/>
    <w:rsid w:val="1F0F4418"/>
    <w:rsid w:val="1F2450A2"/>
    <w:rsid w:val="1F266AF2"/>
    <w:rsid w:val="1F2921C1"/>
    <w:rsid w:val="1F3E1C50"/>
    <w:rsid w:val="1F423080"/>
    <w:rsid w:val="1F4A5A23"/>
    <w:rsid w:val="1F6208FA"/>
    <w:rsid w:val="1F795699"/>
    <w:rsid w:val="1F7D7B7E"/>
    <w:rsid w:val="1F8B00EC"/>
    <w:rsid w:val="1F8D2DEF"/>
    <w:rsid w:val="1F8D462E"/>
    <w:rsid w:val="1F980438"/>
    <w:rsid w:val="1FB00909"/>
    <w:rsid w:val="1FC032E1"/>
    <w:rsid w:val="1FD87ACC"/>
    <w:rsid w:val="1FD90556"/>
    <w:rsid w:val="1FE95A8A"/>
    <w:rsid w:val="1FEF0C77"/>
    <w:rsid w:val="1FFE3BAB"/>
    <w:rsid w:val="20103B5D"/>
    <w:rsid w:val="2010660D"/>
    <w:rsid w:val="2018367A"/>
    <w:rsid w:val="202145A8"/>
    <w:rsid w:val="20346975"/>
    <w:rsid w:val="20504D09"/>
    <w:rsid w:val="20562924"/>
    <w:rsid w:val="20564A23"/>
    <w:rsid w:val="20734217"/>
    <w:rsid w:val="207A13AF"/>
    <w:rsid w:val="209F46FC"/>
    <w:rsid w:val="20BC49FB"/>
    <w:rsid w:val="20D5415D"/>
    <w:rsid w:val="20F420C9"/>
    <w:rsid w:val="210078FB"/>
    <w:rsid w:val="2111630E"/>
    <w:rsid w:val="212D3408"/>
    <w:rsid w:val="212F5663"/>
    <w:rsid w:val="213532BF"/>
    <w:rsid w:val="21364E40"/>
    <w:rsid w:val="21397190"/>
    <w:rsid w:val="21474A51"/>
    <w:rsid w:val="21481066"/>
    <w:rsid w:val="216960C8"/>
    <w:rsid w:val="2175028B"/>
    <w:rsid w:val="21812E44"/>
    <w:rsid w:val="21971541"/>
    <w:rsid w:val="21A168C8"/>
    <w:rsid w:val="21AC4ECC"/>
    <w:rsid w:val="21B646D2"/>
    <w:rsid w:val="21BF6616"/>
    <w:rsid w:val="21C31913"/>
    <w:rsid w:val="21CB5A7A"/>
    <w:rsid w:val="21CC3D94"/>
    <w:rsid w:val="21DD1C30"/>
    <w:rsid w:val="21EB17A7"/>
    <w:rsid w:val="22002E02"/>
    <w:rsid w:val="220E6AD5"/>
    <w:rsid w:val="220F3557"/>
    <w:rsid w:val="221706BD"/>
    <w:rsid w:val="22370978"/>
    <w:rsid w:val="22430C86"/>
    <w:rsid w:val="225659D9"/>
    <w:rsid w:val="22655D72"/>
    <w:rsid w:val="227135F2"/>
    <w:rsid w:val="22833F45"/>
    <w:rsid w:val="2287643A"/>
    <w:rsid w:val="229C1F7F"/>
    <w:rsid w:val="22A10C5C"/>
    <w:rsid w:val="22BB71A9"/>
    <w:rsid w:val="22CD7333"/>
    <w:rsid w:val="22CE48AD"/>
    <w:rsid w:val="22D44DB6"/>
    <w:rsid w:val="22EE0D5B"/>
    <w:rsid w:val="22EE5736"/>
    <w:rsid w:val="23085EC2"/>
    <w:rsid w:val="230F1C77"/>
    <w:rsid w:val="231213A2"/>
    <w:rsid w:val="23292671"/>
    <w:rsid w:val="232E02AF"/>
    <w:rsid w:val="235258B9"/>
    <w:rsid w:val="23562E54"/>
    <w:rsid w:val="23897251"/>
    <w:rsid w:val="239A212D"/>
    <w:rsid w:val="23B01098"/>
    <w:rsid w:val="23BC7739"/>
    <w:rsid w:val="23D360E9"/>
    <w:rsid w:val="23DD275A"/>
    <w:rsid w:val="23F31E65"/>
    <w:rsid w:val="23FA7418"/>
    <w:rsid w:val="240209F5"/>
    <w:rsid w:val="2403217D"/>
    <w:rsid w:val="24092638"/>
    <w:rsid w:val="240F5818"/>
    <w:rsid w:val="241F01FE"/>
    <w:rsid w:val="24281757"/>
    <w:rsid w:val="243D08AD"/>
    <w:rsid w:val="244A501D"/>
    <w:rsid w:val="244E61A0"/>
    <w:rsid w:val="245B6551"/>
    <w:rsid w:val="2463062C"/>
    <w:rsid w:val="246A6F49"/>
    <w:rsid w:val="247750E5"/>
    <w:rsid w:val="247A4326"/>
    <w:rsid w:val="24917AC6"/>
    <w:rsid w:val="24921F46"/>
    <w:rsid w:val="24962528"/>
    <w:rsid w:val="24992AB5"/>
    <w:rsid w:val="24A235F9"/>
    <w:rsid w:val="24A4255F"/>
    <w:rsid w:val="24B675AA"/>
    <w:rsid w:val="24C27401"/>
    <w:rsid w:val="24EF141E"/>
    <w:rsid w:val="24F33B9B"/>
    <w:rsid w:val="24F546EC"/>
    <w:rsid w:val="24FB6E4C"/>
    <w:rsid w:val="25220CBC"/>
    <w:rsid w:val="25236854"/>
    <w:rsid w:val="25397F25"/>
    <w:rsid w:val="25632058"/>
    <w:rsid w:val="256539D3"/>
    <w:rsid w:val="257E0077"/>
    <w:rsid w:val="25874688"/>
    <w:rsid w:val="258A783A"/>
    <w:rsid w:val="258B3340"/>
    <w:rsid w:val="25A378D6"/>
    <w:rsid w:val="25B94D9E"/>
    <w:rsid w:val="25BC4229"/>
    <w:rsid w:val="25CA270E"/>
    <w:rsid w:val="25D42D49"/>
    <w:rsid w:val="25E263A8"/>
    <w:rsid w:val="25E87DB6"/>
    <w:rsid w:val="25E96F10"/>
    <w:rsid w:val="25F8138C"/>
    <w:rsid w:val="25FC2997"/>
    <w:rsid w:val="26270E8E"/>
    <w:rsid w:val="262B4366"/>
    <w:rsid w:val="26527B3D"/>
    <w:rsid w:val="26843AD6"/>
    <w:rsid w:val="26865DB2"/>
    <w:rsid w:val="268D58C1"/>
    <w:rsid w:val="268E0DAE"/>
    <w:rsid w:val="2697109A"/>
    <w:rsid w:val="269D6667"/>
    <w:rsid w:val="26BC2E63"/>
    <w:rsid w:val="26C70358"/>
    <w:rsid w:val="26DF5234"/>
    <w:rsid w:val="26E44315"/>
    <w:rsid w:val="26EE4A86"/>
    <w:rsid w:val="270B543C"/>
    <w:rsid w:val="271A6337"/>
    <w:rsid w:val="272E24A9"/>
    <w:rsid w:val="273B136A"/>
    <w:rsid w:val="27613A74"/>
    <w:rsid w:val="27691933"/>
    <w:rsid w:val="27752467"/>
    <w:rsid w:val="27A1529D"/>
    <w:rsid w:val="27B33DDE"/>
    <w:rsid w:val="27B92300"/>
    <w:rsid w:val="27B92BBF"/>
    <w:rsid w:val="27EA6EB0"/>
    <w:rsid w:val="280D5715"/>
    <w:rsid w:val="28131C63"/>
    <w:rsid w:val="28193342"/>
    <w:rsid w:val="281E07FC"/>
    <w:rsid w:val="282D1F29"/>
    <w:rsid w:val="284517B7"/>
    <w:rsid w:val="285B5066"/>
    <w:rsid w:val="285F61BC"/>
    <w:rsid w:val="286A3619"/>
    <w:rsid w:val="287064B6"/>
    <w:rsid w:val="288C3C94"/>
    <w:rsid w:val="28940A2F"/>
    <w:rsid w:val="28B016EF"/>
    <w:rsid w:val="28BA0295"/>
    <w:rsid w:val="28CF6803"/>
    <w:rsid w:val="28F777EE"/>
    <w:rsid w:val="29204D4E"/>
    <w:rsid w:val="292F3DF1"/>
    <w:rsid w:val="293A08BB"/>
    <w:rsid w:val="293C06B3"/>
    <w:rsid w:val="29464541"/>
    <w:rsid w:val="294D0514"/>
    <w:rsid w:val="294F294E"/>
    <w:rsid w:val="2952265D"/>
    <w:rsid w:val="29571496"/>
    <w:rsid w:val="296A6FEC"/>
    <w:rsid w:val="2973273F"/>
    <w:rsid w:val="297C5933"/>
    <w:rsid w:val="29965195"/>
    <w:rsid w:val="29965A3F"/>
    <w:rsid w:val="299C5619"/>
    <w:rsid w:val="299D1471"/>
    <w:rsid w:val="29AD1D45"/>
    <w:rsid w:val="29B70C98"/>
    <w:rsid w:val="29B751B5"/>
    <w:rsid w:val="29BE4971"/>
    <w:rsid w:val="29C55BD3"/>
    <w:rsid w:val="29CC380C"/>
    <w:rsid w:val="29D3077C"/>
    <w:rsid w:val="29F55883"/>
    <w:rsid w:val="29F97C49"/>
    <w:rsid w:val="2A2C5A6D"/>
    <w:rsid w:val="2A4065CD"/>
    <w:rsid w:val="2A5C6B34"/>
    <w:rsid w:val="2A6F342B"/>
    <w:rsid w:val="2A7710DB"/>
    <w:rsid w:val="2A7E669D"/>
    <w:rsid w:val="2A984D6D"/>
    <w:rsid w:val="2AA51639"/>
    <w:rsid w:val="2AAF6F8A"/>
    <w:rsid w:val="2AB557FE"/>
    <w:rsid w:val="2ABA6BA0"/>
    <w:rsid w:val="2AC407E3"/>
    <w:rsid w:val="2AD753D9"/>
    <w:rsid w:val="2AE01A27"/>
    <w:rsid w:val="2AE324DA"/>
    <w:rsid w:val="2AE62AFD"/>
    <w:rsid w:val="2AE651BB"/>
    <w:rsid w:val="2AFB0A4E"/>
    <w:rsid w:val="2B1818F6"/>
    <w:rsid w:val="2B1B6DC7"/>
    <w:rsid w:val="2B304F93"/>
    <w:rsid w:val="2B345A93"/>
    <w:rsid w:val="2B3A1D21"/>
    <w:rsid w:val="2B3A5BA9"/>
    <w:rsid w:val="2B4247A3"/>
    <w:rsid w:val="2B6F5DD1"/>
    <w:rsid w:val="2B7164D1"/>
    <w:rsid w:val="2B8307CD"/>
    <w:rsid w:val="2B925829"/>
    <w:rsid w:val="2B9B1D78"/>
    <w:rsid w:val="2BA40DD5"/>
    <w:rsid w:val="2BA46B96"/>
    <w:rsid w:val="2BC710E3"/>
    <w:rsid w:val="2BD52616"/>
    <w:rsid w:val="2BD5324B"/>
    <w:rsid w:val="2C013EB5"/>
    <w:rsid w:val="2C183F6B"/>
    <w:rsid w:val="2C1E1D73"/>
    <w:rsid w:val="2C43116A"/>
    <w:rsid w:val="2C524C08"/>
    <w:rsid w:val="2C827B71"/>
    <w:rsid w:val="2C864B2D"/>
    <w:rsid w:val="2C950523"/>
    <w:rsid w:val="2CBB728E"/>
    <w:rsid w:val="2CBC4F72"/>
    <w:rsid w:val="2CBE2968"/>
    <w:rsid w:val="2CCD168B"/>
    <w:rsid w:val="2CD3198B"/>
    <w:rsid w:val="2CDA4B5F"/>
    <w:rsid w:val="2D0F2BE4"/>
    <w:rsid w:val="2D1579D5"/>
    <w:rsid w:val="2D1C302E"/>
    <w:rsid w:val="2D1C7D09"/>
    <w:rsid w:val="2D2073FA"/>
    <w:rsid w:val="2D2912ED"/>
    <w:rsid w:val="2D390945"/>
    <w:rsid w:val="2D41024B"/>
    <w:rsid w:val="2D5C676F"/>
    <w:rsid w:val="2D670417"/>
    <w:rsid w:val="2D6858D9"/>
    <w:rsid w:val="2D73635F"/>
    <w:rsid w:val="2D82288D"/>
    <w:rsid w:val="2D8D7D17"/>
    <w:rsid w:val="2DA2350C"/>
    <w:rsid w:val="2DA26B18"/>
    <w:rsid w:val="2DA8623F"/>
    <w:rsid w:val="2DA961F4"/>
    <w:rsid w:val="2DC405AA"/>
    <w:rsid w:val="2DCE52AB"/>
    <w:rsid w:val="2DEA093A"/>
    <w:rsid w:val="2DEC574C"/>
    <w:rsid w:val="2E107F27"/>
    <w:rsid w:val="2E29724F"/>
    <w:rsid w:val="2E350841"/>
    <w:rsid w:val="2E3F30CE"/>
    <w:rsid w:val="2E3F3B86"/>
    <w:rsid w:val="2E464466"/>
    <w:rsid w:val="2E513AEA"/>
    <w:rsid w:val="2E5546CA"/>
    <w:rsid w:val="2E5A7BE8"/>
    <w:rsid w:val="2E5D4E74"/>
    <w:rsid w:val="2E6233B1"/>
    <w:rsid w:val="2E6C0BC3"/>
    <w:rsid w:val="2E78039F"/>
    <w:rsid w:val="2E8A4356"/>
    <w:rsid w:val="2E9208E5"/>
    <w:rsid w:val="2E9757EF"/>
    <w:rsid w:val="2E994CCB"/>
    <w:rsid w:val="2EC165B7"/>
    <w:rsid w:val="2EC94A7F"/>
    <w:rsid w:val="2EE21BC4"/>
    <w:rsid w:val="2EE828E1"/>
    <w:rsid w:val="2F12452C"/>
    <w:rsid w:val="2F19587F"/>
    <w:rsid w:val="2F256FF1"/>
    <w:rsid w:val="2F27097A"/>
    <w:rsid w:val="2F3B2694"/>
    <w:rsid w:val="2F3D0B0C"/>
    <w:rsid w:val="2F597FAF"/>
    <w:rsid w:val="2F66090D"/>
    <w:rsid w:val="2F740EEC"/>
    <w:rsid w:val="2F886E02"/>
    <w:rsid w:val="2F8B3D1C"/>
    <w:rsid w:val="2F99730E"/>
    <w:rsid w:val="2FA62C4D"/>
    <w:rsid w:val="2FBF6B43"/>
    <w:rsid w:val="2FC02AE9"/>
    <w:rsid w:val="2FCF2F65"/>
    <w:rsid w:val="2FD6053B"/>
    <w:rsid w:val="2FE95F99"/>
    <w:rsid w:val="2FEC6B2F"/>
    <w:rsid w:val="30017697"/>
    <w:rsid w:val="300F55E6"/>
    <w:rsid w:val="301F4C48"/>
    <w:rsid w:val="301F7643"/>
    <w:rsid w:val="30283439"/>
    <w:rsid w:val="302F5185"/>
    <w:rsid w:val="30426FCF"/>
    <w:rsid w:val="30587FA7"/>
    <w:rsid w:val="305D7AD0"/>
    <w:rsid w:val="30642856"/>
    <w:rsid w:val="30685E7B"/>
    <w:rsid w:val="308D0993"/>
    <w:rsid w:val="308D42C9"/>
    <w:rsid w:val="309A75BA"/>
    <w:rsid w:val="30AA0D1F"/>
    <w:rsid w:val="30B260F5"/>
    <w:rsid w:val="30D86207"/>
    <w:rsid w:val="30E34019"/>
    <w:rsid w:val="30EF6F14"/>
    <w:rsid w:val="30F96868"/>
    <w:rsid w:val="30FB1AA8"/>
    <w:rsid w:val="312A7037"/>
    <w:rsid w:val="314011DB"/>
    <w:rsid w:val="315438F7"/>
    <w:rsid w:val="315933C6"/>
    <w:rsid w:val="31691C58"/>
    <w:rsid w:val="316E002A"/>
    <w:rsid w:val="31BC3762"/>
    <w:rsid w:val="31D94622"/>
    <w:rsid w:val="31E97788"/>
    <w:rsid w:val="32021A6E"/>
    <w:rsid w:val="3211473C"/>
    <w:rsid w:val="321D18FA"/>
    <w:rsid w:val="32284A16"/>
    <w:rsid w:val="323C4645"/>
    <w:rsid w:val="325B5588"/>
    <w:rsid w:val="32743B56"/>
    <w:rsid w:val="328F4D9A"/>
    <w:rsid w:val="329308B5"/>
    <w:rsid w:val="32940192"/>
    <w:rsid w:val="32953B74"/>
    <w:rsid w:val="32A23103"/>
    <w:rsid w:val="32AD00A2"/>
    <w:rsid w:val="32CA61F0"/>
    <w:rsid w:val="32CE4BB1"/>
    <w:rsid w:val="32CE61B4"/>
    <w:rsid w:val="32DE7B3B"/>
    <w:rsid w:val="32F23A0D"/>
    <w:rsid w:val="32F41E1C"/>
    <w:rsid w:val="32F53BE3"/>
    <w:rsid w:val="32F74522"/>
    <w:rsid w:val="32FA0443"/>
    <w:rsid w:val="330111BC"/>
    <w:rsid w:val="331733B6"/>
    <w:rsid w:val="331F74EF"/>
    <w:rsid w:val="33254F2C"/>
    <w:rsid w:val="33271732"/>
    <w:rsid w:val="332D1F82"/>
    <w:rsid w:val="33387927"/>
    <w:rsid w:val="333B756C"/>
    <w:rsid w:val="333F2807"/>
    <w:rsid w:val="3342113B"/>
    <w:rsid w:val="334C54A3"/>
    <w:rsid w:val="334E620E"/>
    <w:rsid w:val="33562BC3"/>
    <w:rsid w:val="335915B0"/>
    <w:rsid w:val="335A05C4"/>
    <w:rsid w:val="3361036C"/>
    <w:rsid w:val="336743E3"/>
    <w:rsid w:val="337F0619"/>
    <w:rsid w:val="33833C88"/>
    <w:rsid w:val="338C5B19"/>
    <w:rsid w:val="33A944FB"/>
    <w:rsid w:val="33B3530A"/>
    <w:rsid w:val="33B57EB9"/>
    <w:rsid w:val="33D26E92"/>
    <w:rsid w:val="33D613EB"/>
    <w:rsid w:val="33E1253F"/>
    <w:rsid w:val="33E7434F"/>
    <w:rsid w:val="33F971D5"/>
    <w:rsid w:val="340F6385"/>
    <w:rsid w:val="34143946"/>
    <w:rsid w:val="341961E6"/>
    <w:rsid w:val="34237494"/>
    <w:rsid w:val="34267A1B"/>
    <w:rsid w:val="342C1C45"/>
    <w:rsid w:val="3430596F"/>
    <w:rsid w:val="34383243"/>
    <w:rsid w:val="3440181B"/>
    <w:rsid w:val="34491A66"/>
    <w:rsid w:val="34492D71"/>
    <w:rsid w:val="345F76AC"/>
    <w:rsid w:val="346A0FD0"/>
    <w:rsid w:val="348A0A63"/>
    <w:rsid w:val="349127A4"/>
    <w:rsid w:val="349F3894"/>
    <w:rsid w:val="34A52A15"/>
    <w:rsid w:val="34D64492"/>
    <w:rsid w:val="34D713BB"/>
    <w:rsid w:val="34DC7047"/>
    <w:rsid w:val="34F20EA2"/>
    <w:rsid w:val="350C7643"/>
    <w:rsid w:val="3512750B"/>
    <w:rsid w:val="35274BD4"/>
    <w:rsid w:val="352969D0"/>
    <w:rsid w:val="35301D1C"/>
    <w:rsid w:val="35340772"/>
    <w:rsid w:val="353731B8"/>
    <w:rsid w:val="354237EC"/>
    <w:rsid w:val="35511985"/>
    <w:rsid w:val="355901DD"/>
    <w:rsid w:val="356A2647"/>
    <w:rsid w:val="356F4778"/>
    <w:rsid w:val="35793D59"/>
    <w:rsid w:val="359922DC"/>
    <w:rsid w:val="359F0D05"/>
    <w:rsid w:val="35A32344"/>
    <w:rsid w:val="35A3258E"/>
    <w:rsid w:val="35B620EC"/>
    <w:rsid w:val="35BB3F6F"/>
    <w:rsid w:val="35D04E68"/>
    <w:rsid w:val="35D65950"/>
    <w:rsid w:val="35E54622"/>
    <w:rsid w:val="35EC2C60"/>
    <w:rsid w:val="35F970E2"/>
    <w:rsid w:val="35FB3F2C"/>
    <w:rsid w:val="35FF5FA6"/>
    <w:rsid w:val="360546BE"/>
    <w:rsid w:val="36107575"/>
    <w:rsid w:val="361100CA"/>
    <w:rsid w:val="361D2C3D"/>
    <w:rsid w:val="362102EC"/>
    <w:rsid w:val="363A6600"/>
    <w:rsid w:val="364F7A09"/>
    <w:rsid w:val="367E0E4A"/>
    <w:rsid w:val="3682337C"/>
    <w:rsid w:val="368637B1"/>
    <w:rsid w:val="368F1295"/>
    <w:rsid w:val="369E1627"/>
    <w:rsid w:val="36B57888"/>
    <w:rsid w:val="36E153DC"/>
    <w:rsid w:val="371501DE"/>
    <w:rsid w:val="37155B18"/>
    <w:rsid w:val="37167010"/>
    <w:rsid w:val="37284E0F"/>
    <w:rsid w:val="372A0F6A"/>
    <w:rsid w:val="37327CAC"/>
    <w:rsid w:val="37386E9E"/>
    <w:rsid w:val="37505700"/>
    <w:rsid w:val="37536EAE"/>
    <w:rsid w:val="3760058C"/>
    <w:rsid w:val="37C95891"/>
    <w:rsid w:val="37CB0D94"/>
    <w:rsid w:val="37DE77FC"/>
    <w:rsid w:val="37E04CBD"/>
    <w:rsid w:val="37F37544"/>
    <w:rsid w:val="37FF3BD6"/>
    <w:rsid w:val="380B5D8F"/>
    <w:rsid w:val="38132D92"/>
    <w:rsid w:val="3822688F"/>
    <w:rsid w:val="382D1516"/>
    <w:rsid w:val="38476EA9"/>
    <w:rsid w:val="384777BB"/>
    <w:rsid w:val="38695BB9"/>
    <w:rsid w:val="38727D40"/>
    <w:rsid w:val="387F37CA"/>
    <w:rsid w:val="388F587B"/>
    <w:rsid w:val="389F23E5"/>
    <w:rsid w:val="38BF27CF"/>
    <w:rsid w:val="38C32D98"/>
    <w:rsid w:val="38C81CAD"/>
    <w:rsid w:val="38E27D78"/>
    <w:rsid w:val="38EE2BD1"/>
    <w:rsid w:val="39113F01"/>
    <w:rsid w:val="391E4DE5"/>
    <w:rsid w:val="3920236F"/>
    <w:rsid w:val="392917AF"/>
    <w:rsid w:val="39307C7A"/>
    <w:rsid w:val="39711BD5"/>
    <w:rsid w:val="39717D4D"/>
    <w:rsid w:val="39830E01"/>
    <w:rsid w:val="39856166"/>
    <w:rsid w:val="398D2547"/>
    <w:rsid w:val="3997440C"/>
    <w:rsid w:val="399A66DD"/>
    <w:rsid w:val="399C000D"/>
    <w:rsid w:val="39B07681"/>
    <w:rsid w:val="39B27340"/>
    <w:rsid w:val="39B3171B"/>
    <w:rsid w:val="39BC232D"/>
    <w:rsid w:val="39E27EB4"/>
    <w:rsid w:val="39F32D23"/>
    <w:rsid w:val="39FA6877"/>
    <w:rsid w:val="39FE4031"/>
    <w:rsid w:val="3A015456"/>
    <w:rsid w:val="3A0750C7"/>
    <w:rsid w:val="3A1E68BD"/>
    <w:rsid w:val="3A3F6685"/>
    <w:rsid w:val="3A4000D9"/>
    <w:rsid w:val="3A4521CA"/>
    <w:rsid w:val="3A49509F"/>
    <w:rsid w:val="3A4C2FCE"/>
    <w:rsid w:val="3A584C46"/>
    <w:rsid w:val="3A612DE5"/>
    <w:rsid w:val="3A633B75"/>
    <w:rsid w:val="3A660034"/>
    <w:rsid w:val="3A7969EC"/>
    <w:rsid w:val="3A814008"/>
    <w:rsid w:val="3A875AD9"/>
    <w:rsid w:val="3A927C61"/>
    <w:rsid w:val="3A957B9B"/>
    <w:rsid w:val="3A9A73D5"/>
    <w:rsid w:val="3AA05D26"/>
    <w:rsid w:val="3AAE52D9"/>
    <w:rsid w:val="3ACA4944"/>
    <w:rsid w:val="3AD05CB0"/>
    <w:rsid w:val="3AD47FDF"/>
    <w:rsid w:val="3AD52E9F"/>
    <w:rsid w:val="3AE66485"/>
    <w:rsid w:val="3AF4735F"/>
    <w:rsid w:val="3AF74F0E"/>
    <w:rsid w:val="3AFD3E8E"/>
    <w:rsid w:val="3B130C19"/>
    <w:rsid w:val="3B167A46"/>
    <w:rsid w:val="3B1A038D"/>
    <w:rsid w:val="3B222B86"/>
    <w:rsid w:val="3B2D69B8"/>
    <w:rsid w:val="3B4200A1"/>
    <w:rsid w:val="3B457282"/>
    <w:rsid w:val="3B471728"/>
    <w:rsid w:val="3B5E5A87"/>
    <w:rsid w:val="3B6B075E"/>
    <w:rsid w:val="3B6E2C02"/>
    <w:rsid w:val="3B9B2C42"/>
    <w:rsid w:val="3BE673EC"/>
    <w:rsid w:val="3BEC4A0F"/>
    <w:rsid w:val="3BF550DA"/>
    <w:rsid w:val="3BF765EC"/>
    <w:rsid w:val="3C296B3D"/>
    <w:rsid w:val="3C59682E"/>
    <w:rsid w:val="3C662E18"/>
    <w:rsid w:val="3C6E32A4"/>
    <w:rsid w:val="3C747A13"/>
    <w:rsid w:val="3C7C694C"/>
    <w:rsid w:val="3C9E7A44"/>
    <w:rsid w:val="3CAA420B"/>
    <w:rsid w:val="3CB15178"/>
    <w:rsid w:val="3CB872DE"/>
    <w:rsid w:val="3CC52689"/>
    <w:rsid w:val="3CD033BF"/>
    <w:rsid w:val="3CD06218"/>
    <w:rsid w:val="3CD32522"/>
    <w:rsid w:val="3CD558B1"/>
    <w:rsid w:val="3CEA6298"/>
    <w:rsid w:val="3D1A39DF"/>
    <w:rsid w:val="3D2637E2"/>
    <w:rsid w:val="3D3263EC"/>
    <w:rsid w:val="3D631C80"/>
    <w:rsid w:val="3D692B06"/>
    <w:rsid w:val="3D755E2C"/>
    <w:rsid w:val="3D861AA3"/>
    <w:rsid w:val="3D8F35D4"/>
    <w:rsid w:val="3D8F386B"/>
    <w:rsid w:val="3DA31BAA"/>
    <w:rsid w:val="3DA53D6A"/>
    <w:rsid w:val="3DA821DD"/>
    <w:rsid w:val="3DA91092"/>
    <w:rsid w:val="3DAA0E17"/>
    <w:rsid w:val="3DAC0DEC"/>
    <w:rsid w:val="3DC24D75"/>
    <w:rsid w:val="3DC86A52"/>
    <w:rsid w:val="3DD869E0"/>
    <w:rsid w:val="3DDE012E"/>
    <w:rsid w:val="3DE2791A"/>
    <w:rsid w:val="3DEE3015"/>
    <w:rsid w:val="3DFF6BDC"/>
    <w:rsid w:val="3E2117EC"/>
    <w:rsid w:val="3E217E18"/>
    <w:rsid w:val="3E6D48DD"/>
    <w:rsid w:val="3E751EE7"/>
    <w:rsid w:val="3E8435E3"/>
    <w:rsid w:val="3E926A99"/>
    <w:rsid w:val="3EB20B34"/>
    <w:rsid w:val="3EC0586C"/>
    <w:rsid w:val="3EC96F52"/>
    <w:rsid w:val="3ED120AE"/>
    <w:rsid w:val="3ED956BE"/>
    <w:rsid w:val="3EEA1EF3"/>
    <w:rsid w:val="3EED3326"/>
    <w:rsid w:val="3EFF5662"/>
    <w:rsid w:val="3F1C5CAE"/>
    <w:rsid w:val="3F3556B8"/>
    <w:rsid w:val="3F4602FB"/>
    <w:rsid w:val="3F50250C"/>
    <w:rsid w:val="3F5778E8"/>
    <w:rsid w:val="3F5E0662"/>
    <w:rsid w:val="3F84768E"/>
    <w:rsid w:val="3FA00195"/>
    <w:rsid w:val="3FA45E02"/>
    <w:rsid w:val="3FAD626E"/>
    <w:rsid w:val="3FD1113F"/>
    <w:rsid w:val="3FD55222"/>
    <w:rsid w:val="3FE6300C"/>
    <w:rsid w:val="3FF87264"/>
    <w:rsid w:val="400849B2"/>
    <w:rsid w:val="400B78FF"/>
    <w:rsid w:val="401D636B"/>
    <w:rsid w:val="4043016C"/>
    <w:rsid w:val="40457D6A"/>
    <w:rsid w:val="406B5BD7"/>
    <w:rsid w:val="4073454C"/>
    <w:rsid w:val="40A2012D"/>
    <w:rsid w:val="40AA4297"/>
    <w:rsid w:val="40B27A77"/>
    <w:rsid w:val="40C93C2C"/>
    <w:rsid w:val="40CC4402"/>
    <w:rsid w:val="40CF248F"/>
    <w:rsid w:val="410267CF"/>
    <w:rsid w:val="411941A7"/>
    <w:rsid w:val="412D17A7"/>
    <w:rsid w:val="413B7A68"/>
    <w:rsid w:val="41420895"/>
    <w:rsid w:val="4146033A"/>
    <w:rsid w:val="414F2940"/>
    <w:rsid w:val="415212A6"/>
    <w:rsid w:val="415F49A9"/>
    <w:rsid w:val="416163D3"/>
    <w:rsid w:val="416869A2"/>
    <w:rsid w:val="418A5922"/>
    <w:rsid w:val="419507B0"/>
    <w:rsid w:val="419559F2"/>
    <w:rsid w:val="41966D0A"/>
    <w:rsid w:val="41C9379D"/>
    <w:rsid w:val="41CC4198"/>
    <w:rsid w:val="41D34286"/>
    <w:rsid w:val="41D73D30"/>
    <w:rsid w:val="420578A7"/>
    <w:rsid w:val="42287121"/>
    <w:rsid w:val="423226CF"/>
    <w:rsid w:val="427B18CD"/>
    <w:rsid w:val="42806636"/>
    <w:rsid w:val="428916B8"/>
    <w:rsid w:val="42B71B61"/>
    <w:rsid w:val="42DC2408"/>
    <w:rsid w:val="42E42CCB"/>
    <w:rsid w:val="42F21808"/>
    <w:rsid w:val="43002094"/>
    <w:rsid w:val="430779E2"/>
    <w:rsid w:val="43084968"/>
    <w:rsid w:val="43121B0F"/>
    <w:rsid w:val="431A4EB4"/>
    <w:rsid w:val="43207F9F"/>
    <w:rsid w:val="434A1CA6"/>
    <w:rsid w:val="435070E5"/>
    <w:rsid w:val="43545B7B"/>
    <w:rsid w:val="435606E0"/>
    <w:rsid w:val="435A43DE"/>
    <w:rsid w:val="43654EE0"/>
    <w:rsid w:val="436F1EDB"/>
    <w:rsid w:val="43832355"/>
    <w:rsid w:val="43855937"/>
    <w:rsid w:val="439865BE"/>
    <w:rsid w:val="439D3315"/>
    <w:rsid w:val="439E6090"/>
    <w:rsid w:val="43A00E80"/>
    <w:rsid w:val="43AA3793"/>
    <w:rsid w:val="43BB1503"/>
    <w:rsid w:val="43C10346"/>
    <w:rsid w:val="43CA0E3F"/>
    <w:rsid w:val="43DA0DDE"/>
    <w:rsid w:val="43DB286E"/>
    <w:rsid w:val="43E0737D"/>
    <w:rsid w:val="43EA514C"/>
    <w:rsid w:val="43EF0CF0"/>
    <w:rsid w:val="43F92031"/>
    <w:rsid w:val="44004F9E"/>
    <w:rsid w:val="44106185"/>
    <w:rsid w:val="442F1C73"/>
    <w:rsid w:val="443A0F91"/>
    <w:rsid w:val="44406426"/>
    <w:rsid w:val="445C7035"/>
    <w:rsid w:val="44A6576F"/>
    <w:rsid w:val="44BF00CD"/>
    <w:rsid w:val="44C17D93"/>
    <w:rsid w:val="44CB2FA2"/>
    <w:rsid w:val="44D01B63"/>
    <w:rsid w:val="44D11CFA"/>
    <w:rsid w:val="44EB74C2"/>
    <w:rsid w:val="44F078A8"/>
    <w:rsid w:val="450A0A98"/>
    <w:rsid w:val="450C5AD8"/>
    <w:rsid w:val="4557254B"/>
    <w:rsid w:val="455730E3"/>
    <w:rsid w:val="455A6F7C"/>
    <w:rsid w:val="456033DF"/>
    <w:rsid w:val="45615501"/>
    <w:rsid w:val="456C4A00"/>
    <w:rsid w:val="4576312C"/>
    <w:rsid w:val="457A02D2"/>
    <w:rsid w:val="45837C34"/>
    <w:rsid w:val="45AA6BF5"/>
    <w:rsid w:val="45AE6214"/>
    <w:rsid w:val="45B06D6E"/>
    <w:rsid w:val="45C45843"/>
    <w:rsid w:val="45D1609B"/>
    <w:rsid w:val="45D24EF1"/>
    <w:rsid w:val="45DE579C"/>
    <w:rsid w:val="45E578B3"/>
    <w:rsid w:val="45EB50C1"/>
    <w:rsid w:val="45F03524"/>
    <w:rsid w:val="460C17DD"/>
    <w:rsid w:val="462823E5"/>
    <w:rsid w:val="462F49B1"/>
    <w:rsid w:val="46347065"/>
    <w:rsid w:val="46403ED5"/>
    <w:rsid w:val="46547515"/>
    <w:rsid w:val="46560D43"/>
    <w:rsid w:val="46633FE3"/>
    <w:rsid w:val="468F011D"/>
    <w:rsid w:val="469640D2"/>
    <w:rsid w:val="469D1308"/>
    <w:rsid w:val="469D4A4E"/>
    <w:rsid w:val="46A06F84"/>
    <w:rsid w:val="46A71032"/>
    <w:rsid w:val="46BA4CF3"/>
    <w:rsid w:val="46C619E8"/>
    <w:rsid w:val="46C6256D"/>
    <w:rsid w:val="46CC3936"/>
    <w:rsid w:val="46CD35C7"/>
    <w:rsid w:val="46E1312D"/>
    <w:rsid w:val="46E32870"/>
    <w:rsid w:val="46E43002"/>
    <w:rsid w:val="46E923D4"/>
    <w:rsid w:val="46F40C50"/>
    <w:rsid w:val="46F54AD4"/>
    <w:rsid w:val="47085549"/>
    <w:rsid w:val="470B52C8"/>
    <w:rsid w:val="47101F20"/>
    <w:rsid w:val="4720474D"/>
    <w:rsid w:val="475D27B8"/>
    <w:rsid w:val="47852246"/>
    <w:rsid w:val="478A4680"/>
    <w:rsid w:val="47BD361A"/>
    <w:rsid w:val="47C62491"/>
    <w:rsid w:val="47CA0DD5"/>
    <w:rsid w:val="47CD61BD"/>
    <w:rsid w:val="47D3765D"/>
    <w:rsid w:val="47F463DE"/>
    <w:rsid w:val="47FA0A18"/>
    <w:rsid w:val="47FD14A4"/>
    <w:rsid w:val="48043F47"/>
    <w:rsid w:val="480F5CC6"/>
    <w:rsid w:val="48123EFD"/>
    <w:rsid w:val="482565B6"/>
    <w:rsid w:val="484D2622"/>
    <w:rsid w:val="48511591"/>
    <w:rsid w:val="48546986"/>
    <w:rsid w:val="48571B99"/>
    <w:rsid w:val="48627946"/>
    <w:rsid w:val="4868638A"/>
    <w:rsid w:val="486E4AFA"/>
    <w:rsid w:val="489B5671"/>
    <w:rsid w:val="489F3706"/>
    <w:rsid w:val="48A807B9"/>
    <w:rsid w:val="48B843DB"/>
    <w:rsid w:val="48EE3B7A"/>
    <w:rsid w:val="48FB01C0"/>
    <w:rsid w:val="48FD384B"/>
    <w:rsid w:val="49172611"/>
    <w:rsid w:val="491B6650"/>
    <w:rsid w:val="491F5978"/>
    <w:rsid w:val="4934123D"/>
    <w:rsid w:val="49426D81"/>
    <w:rsid w:val="494614E0"/>
    <w:rsid w:val="4946760E"/>
    <w:rsid w:val="498E4072"/>
    <w:rsid w:val="499833AA"/>
    <w:rsid w:val="49A46E71"/>
    <w:rsid w:val="49B03007"/>
    <w:rsid w:val="49DB6509"/>
    <w:rsid w:val="49DC7A4B"/>
    <w:rsid w:val="49ED70EF"/>
    <w:rsid w:val="49FB7771"/>
    <w:rsid w:val="4A0317EC"/>
    <w:rsid w:val="4A067202"/>
    <w:rsid w:val="4A1F6B8B"/>
    <w:rsid w:val="4A27187C"/>
    <w:rsid w:val="4A3D2319"/>
    <w:rsid w:val="4A424F4F"/>
    <w:rsid w:val="4A4A6F73"/>
    <w:rsid w:val="4A6A766C"/>
    <w:rsid w:val="4A6C5CD9"/>
    <w:rsid w:val="4A832C0A"/>
    <w:rsid w:val="4A935488"/>
    <w:rsid w:val="4AAC05EF"/>
    <w:rsid w:val="4AB923BF"/>
    <w:rsid w:val="4AC36577"/>
    <w:rsid w:val="4AD36547"/>
    <w:rsid w:val="4ADE3D60"/>
    <w:rsid w:val="4AE0139D"/>
    <w:rsid w:val="4AEE438C"/>
    <w:rsid w:val="4B0F08F0"/>
    <w:rsid w:val="4B13136B"/>
    <w:rsid w:val="4B163F3A"/>
    <w:rsid w:val="4B19247A"/>
    <w:rsid w:val="4B260EC9"/>
    <w:rsid w:val="4B4C50BB"/>
    <w:rsid w:val="4B580590"/>
    <w:rsid w:val="4B647335"/>
    <w:rsid w:val="4B783852"/>
    <w:rsid w:val="4BF47773"/>
    <w:rsid w:val="4BFC6736"/>
    <w:rsid w:val="4C302607"/>
    <w:rsid w:val="4C307608"/>
    <w:rsid w:val="4C3414B9"/>
    <w:rsid w:val="4C356B68"/>
    <w:rsid w:val="4C373098"/>
    <w:rsid w:val="4C404D9C"/>
    <w:rsid w:val="4C4C0BC5"/>
    <w:rsid w:val="4C5727FA"/>
    <w:rsid w:val="4C606508"/>
    <w:rsid w:val="4C662843"/>
    <w:rsid w:val="4C673BB1"/>
    <w:rsid w:val="4C6D2199"/>
    <w:rsid w:val="4C8C6FA0"/>
    <w:rsid w:val="4C9C0F1E"/>
    <w:rsid w:val="4C9C41E3"/>
    <w:rsid w:val="4CA54F3E"/>
    <w:rsid w:val="4CA845C0"/>
    <w:rsid w:val="4CC572C6"/>
    <w:rsid w:val="4CD72882"/>
    <w:rsid w:val="4D1951D5"/>
    <w:rsid w:val="4D1B0752"/>
    <w:rsid w:val="4D267674"/>
    <w:rsid w:val="4D3A3FC4"/>
    <w:rsid w:val="4D431BAA"/>
    <w:rsid w:val="4D56570C"/>
    <w:rsid w:val="4D6A0350"/>
    <w:rsid w:val="4D885499"/>
    <w:rsid w:val="4DA722C2"/>
    <w:rsid w:val="4DAB0D50"/>
    <w:rsid w:val="4DAD4AC6"/>
    <w:rsid w:val="4DAF3636"/>
    <w:rsid w:val="4DB30006"/>
    <w:rsid w:val="4DD012BB"/>
    <w:rsid w:val="4DE94216"/>
    <w:rsid w:val="4DF642D6"/>
    <w:rsid w:val="4DF77026"/>
    <w:rsid w:val="4E0965B6"/>
    <w:rsid w:val="4E0F6958"/>
    <w:rsid w:val="4E1A150C"/>
    <w:rsid w:val="4E1B2346"/>
    <w:rsid w:val="4E3560D5"/>
    <w:rsid w:val="4E3D2D11"/>
    <w:rsid w:val="4E492795"/>
    <w:rsid w:val="4E553773"/>
    <w:rsid w:val="4E557723"/>
    <w:rsid w:val="4E5B5B47"/>
    <w:rsid w:val="4E7D712F"/>
    <w:rsid w:val="4E8412B2"/>
    <w:rsid w:val="4E86769F"/>
    <w:rsid w:val="4E941D66"/>
    <w:rsid w:val="4EB57BF8"/>
    <w:rsid w:val="4EBB3698"/>
    <w:rsid w:val="4EBD44AF"/>
    <w:rsid w:val="4EBF1F35"/>
    <w:rsid w:val="4EC201C3"/>
    <w:rsid w:val="4EC62A4A"/>
    <w:rsid w:val="4ED43257"/>
    <w:rsid w:val="4ED55A87"/>
    <w:rsid w:val="4ED55CAE"/>
    <w:rsid w:val="4EEA0B90"/>
    <w:rsid w:val="4EEC6BC3"/>
    <w:rsid w:val="4EF10825"/>
    <w:rsid w:val="4EF2748D"/>
    <w:rsid w:val="4EF96F4E"/>
    <w:rsid w:val="4F08779C"/>
    <w:rsid w:val="4F105A52"/>
    <w:rsid w:val="4F157099"/>
    <w:rsid w:val="4F196A6C"/>
    <w:rsid w:val="4F1F7B1E"/>
    <w:rsid w:val="4F243ADF"/>
    <w:rsid w:val="4F381E11"/>
    <w:rsid w:val="4F3D582C"/>
    <w:rsid w:val="4F4D6C67"/>
    <w:rsid w:val="4F4F5829"/>
    <w:rsid w:val="4F614790"/>
    <w:rsid w:val="4F62558B"/>
    <w:rsid w:val="4F8448ED"/>
    <w:rsid w:val="4F876C67"/>
    <w:rsid w:val="4F970FBB"/>
    <w:rsid w:val="4FB63397"/>
    <w:rsid w:val="4FB64DCA"/>
    <w:rsid w:val="4FBA2471"/>
    <w:rsid w:val="4FC35DF8"/>
    <w:rsid w:val="4FCC3EF9"/>
    <w:rsid w:val="4FCD492E"/>
    <w:rsid w:val="4FCD7F18"/>
    <w:rsid w:val="4FD0677A"/>
    <w:rsid w:val="4FD41506"/>
    <w:rsid w:val="4FD47036"/>
    <w:rsid w:val="4FD93710"/>
    <w:rsid w:val="50120DEA"/>
    <w:rsid w:val="501F1578"/>
    <w:rsid w:val="50246F36"/>
    <w:rsid w:val="502D74A0"/>
    <w:rsid w:val="50391B98"/>
    <w:rsid w:val="50445B61"/>
    <w:rsid w:val="50501594"/>
    <w:rsid w:val="506733B6"/>
    <w:rsid w:val="506906AE"/>
    <w:rsid w:val="507218D8"/>
    <w:rsid w:val="507612E2"/>
    <w:rsid w:val="507E34D2"/>
    <w:rsid w:val="50887E11"/>
    <w:rsid w:val="50BF2131"/>
    <w:rsid w:val="50C30781"/>
    <w:rsid w:val="50D11AD4"/>
    <w:rsid w:val="50E56D6F"/>
    <w:rsid w:val="50EF7CB4"/>
    <w:rsid w:val="51034999"/>
    <w:rsid w:val="510A3797"/>
    <w:rsid w:val="5115689A"/>
    <w:rsid w:val="51163A42"/>
    <w:rsid w:val="51272B72"/>
    <w:rsid w:val="512961A1"/>
    <w:rsid w:val="512E7AF3"/>
    <w:rsid w:val="51315009"/>
    <w:rsid w:val="5148313A"/>
    <w:rsid w:val="51AE63D7"/>
    <w:rsid w:val="51C7476C"/>
    <w:rsid w:val="51E64DE7"/>
    <w:rsid w:val="52311A4B"/>
    <w:rsid w:val="5235110D"/>
    <w:rsid w:val="5259664A"/>
    <w:rsid w:val="525D0EC9"/>
    <w:rsid w:val="52697CB0"/>
    <w:rsid w:val="526E48F5"/>
    <w:rsid w:val="527B023F"/>
    <w:rsid w:val="527C7542"/>
    <w:rsid w:val="528754C5"/>
    <w:rsid w:val="529366D4"/>
    <w:rsid w:val="529A5DFF"/>
    <w:rsid w:val="52A61C57"/>
    <w:rsid w:val="52A65A40"/>
    <w:rsid w:val="52F05440"/>
    <w:rsid w:val="530A7149"/>
    <w:rsid w:val="5322349F"/>
    <w:rsid w:val="53237764"/>
    <w:rsid w:val="532A6A37"/>
    <w:rsid w:val="53394C1B"/>
    <w:rsid w:val="53515BC9"/>
    <w:rsid w:val="535C19B0"/>
    <w:rsid w:val="537A654E"/>
    <w:rsid w:val="537D4CB3"/>
    <w:rsid w:val="538E37F2"/>
    <w:rsid w:val="538F7E27"/>
    <w:rsid w:val="539E762F"/>
    <w:rsid w:val="53A13655"/>
    <w:rsid w:val="53AD271F"/>
    <w:rsid w:val="53B11F80"/>
    <w:rsid w:val="53FC2405"/>
    <w:rsid w:val="54070E9C"/>
    <w:rsid w:val="541364A0"/>
    <w:rsid w:val="541C3C30"/>
    <w:rsid w:val="54530402"/>
    <w:rsid w:val="545D328E"/>
    <w:rsid w:val="546D6440"/>
    <w:rsid w:val="546F3BC5"/>
    <w:rsid w:val="54760D49"/>
    <w:rsid w:val="54A35B80"/>
    <w:rsid w:val="54A475DC"/>
    <w:rsid w:val="54B36C30"/>
    <w:rsid w:val="54C36759"/>
    <w:rsid w:val="54CE26A4"/>
    <w:rsid w:val="54D16D9C"/>
    <w:rsid w:val="54D92923"/>
    <w:rsid w:val="54DC3F02"/>
    <w:rsid w:val="54E6788C"/>
    <w:rsid w:val="55044C2E"/>
    <w:rsid w:val="5509067E"/>
    <w:rsid w:val="551178F4"/>
    <w:rsid w:val="55314C27"/>
    <w:rsid w:val="55384686"/>
    <w:rsid w:val="555A3408"/>
    <w:rsid w:val="55647983"/>
    <w:rsid w:val="5567793D"/>
    <w:rsid w:val="556C4C06"/>
    <w:rsid w:val="5588140E"/>
    <w:rsid w:val="55885D4D"/>
    <w:rsid w:val="55B33B70"/>
    <w:rsid w:val="55CD5C9F"/>
    <w:rsid w:val="55D60722"/>
    <w:rsid w:val="55DA0C7A"/>
    <w:rsid w:val="55EE2A74"/>
    <w:rsid w:val="56031A5C"/>
    <w:rsid w:val="561E4CF3"/>
    <w:rsid w:val="5629452E"/>
    <w:rsid w:val="563033AA"/>
    <w:rsid w:val="564800D2"/>
    <w:rsid w:val="564F5474"/>
    <w:rsid w:val="56533EA1"/>
    <w:rsid w:val="56693221"/>
    <w:rsid w:val="567A6CC7"/>
    <w:rsid w:val="569011A6"/>
    <w:rsid w:val="56955B35"/>
    <w:rsid w:val="56A01E4E"/>
    <w:rsid w:val="56AD70EE"/>
    <w:rsid w:val="56B802D4"/>
    <w:rsid w:val="56C975DE"/>
    <w:rsid w:val="56DC20E2"/>
    <w:rsid w:val="56E4636E"/>
    <w:rsid w:val="57052C99"/>
    <w:rsid w:val="57170A06"/>
    <w:rsid w:val="57201521"/>
    <w:rsid w:val="572447EF"/>
    <w:rsid w:val="572C68C1"/>
    <w:rsid w:val="573E4F0A"/>
    <w:rsid w:val="573F55D2"/>
    <w:rsid w:val="574A1F08"/>
    <w:rsid w:val="57573499"/>
    <w:rsid w:val="57633665"/>
    <w:rsid w:val="576C6D3A"/>
    <w:rsid w:val="57780B5F"/>
    <w:rsid w:val="57856E07"/>
    <w:rsid w:val="57865AF6"/>
    <w:rsid w:val="57884441"/>
    <w:rsid w:val="578E4538"/>
    <w:rsid w:val="5795354E"/>
    <w:rsid w:val="57993EFF"/>
    <w:rsid w:val="579E54F9"/>
    <w:rsid w:val="57AA0B0E"/>
    <w:rsid w:val="57BA59D4"/>
    <w:rsid w:val="57BB2BED"/>
    <w:rsid w:val="57BC080A"/>
    <w:rsid w:val="57D8796C"/>
    <w:rsid w:val="57D87EBA"/>
    <w:rsid w:val="57E2010A"/>
    <w:rsid w:val="57EA2AE3"/>
    <w:rsid w:val="57F4653C"/>
    <w:rsid w:val="58012B8B"/>
    <w:rsid w:val="58161382"/>
    <w:rsid w:val="58220111"/>
    <w:rsid w:val="58297231"/>
    <w:rsid w:val="587E30B9"/>
    <w:rsid w:val="588A52AE"/>
    <w:rsid w:val="58925AF1"/>
    <w:rsid w:val="58A1236A"/>
    <w:rsid w:val="58B13473"/>
    <w:rsid w:val="58B64361"/>
    <w:rsid w:val="58D0087E"/>
    <w:rsid w:val="58EC1057"/>
    <w:rsid w:val="58F405D8"/>
    <w:rsid w:val="58FC1A24"/>
    <w:rsid w:val="59094320"/>
    <w:rsid w:val="590D4E39"/>
    <w:rsid w:val="591666C9"/>
    <w:rsid w:val="59281D08"/>
    <w:rsid w:val="592C3B4B"/>
    <w:rsid w:val="593710E8"/>
    <w:rsid w:val="59500764"/>
    <w:rsid w:val="595C48AF"/>
    <w:rsid w:val="5970475F"/>
    <w:rsid w:val="597047A6"/>
    <w:rsid w:val="59893794"/>
    <w:rsid w:val="59D27912"/>
    <w:rsid w:val="59EB277C"/>
    <w:rsid w:val="59EE737D"/>
    <w:rsid w:val="5A293AAC"/>
    <w:rsid w:val="5A2F57D9"/>
    <w:rsid w:val="5A302FFE"/>
    <w:rsid w:val="5A321016"/>
    <w:rsid w:val="5A5E37E3"/>
    <w:rsid w:val="5A740BF6"/>
    <w:rsid w:val="5A81238B"/>
    <w:rsid w:val="5A8545C4"/>
    <w:rsid w:val="5A901F57"/>
    <w:rsid w:val="5AA6472D"/>
    <w:rsid w:val="5AB90918"/>
    <w:rsid w:val="5ACC057A"/>
    <w:rsid w:val="5ACE04BA"/>
    <w:rsid w:val="5AD55F75"/>
    <w:rsid w:val="5ADD5899"/>
    <w:rsid w:val="5ADD7C85"/>
    <w:rsid w:val="5ADF51F2"/>
    <w:rsid w:val="5AE90FB3"/>
    <w:rsid w:val="5B066503"/>
    <w:rsid w:val="5B16625C"/>
    <w:rsid w:val="5B187904"/>
    <w:rsid w:val="5B280925"/>
    <w:rsid w:val="5B2D41F1"/>
    <w:rsid w:val="5B2E1EEB"/>
    <w:rsid w:val="5B3549AF"/>
    <w:rsid w:val="5B396306"/>
    <w:rsid w:val="5B4B6812"/>
    <w:rsid w:val="5B5C6FCD"/>
    <w:rsid w:val="5B7430B7"/>
    <w:rsid w:val="5B8711D8"/>
    <w:rsid w:val="5B8A6CCB"/>
    <w:rsid w:val="5BC648CA"/>
    <w:rsid w:val="5BCE5608"/>
    <w:rsid w:val="5BD718B6"/>
    <w:rsid w:val="5BD92166"/>
    <w:rsid w:val="5BD95CD3"/>
    <w:rsid w:val="5BE56AFB"/>
    <w:rsid w:val="5C0A65BE"/>
    <w:rsid w:val="5C275688"/>
    <w:rsid w:val="5C281628"/>
    <w:rsid w:val="5C3A0302"/>
    <w:rsid w:val="5C3E2C48"/>
    <w:rsid w:val="5C4822D4"/>
    <w:rsid w:val="5C4E235C"/>
    <w:rsid w:val="5C532BA5"/>
    <w:rsid w:val="5C55693B"/>
    <w:rsid w:val="5C561826"/>
    <w:rsid w:val="5C6000A4"/>
    <w:rsid w:val="5C6D090F"/>
    <w:rsid w:val="5C953A4E"/>
    <w:rsid w:val="5C9A292F"/>
    <w:rsid w:val="5CB775A8"/>
    <w:rsid w:val="5CBA7D9C"/>
    <w:rsid w:val="5CCC60C6"/>
    <w:rsid w:val="5CCD5CDF"/>
    <w:rsid w:val="5CDD6099"/>
    <w:rsid w:val="5CDF546E"/>
    <w:rsid w:val="5CE7740D"/>
    <w:rsid w:val="5CEC1B6C"/>
    <w:rsid w:val="5CFA2A71"/>
    <w:rsid w:val="5D030EEE"/>
    <w:rsid w:val="5D0F09E4"/>
    <w:rsid w:val="5D1A38EC"/>
    <w:rsid w:val="5D2E3FC8"/>
    <w:rsid w:val="5D3172A9"/>
    <w:rsid w:val="5D3E51EC"/>
    <w:rsid w:val="5D68068E"/>
    <w:rsid w:val="5D6E1E04"/>
    <w:rsid w:val="5D796AAC"/>
    <w:rsid w:val="5D976EEC"/>
    <w:rsid w:val="5DB26898"/>
    <w:rsid w:val="5DC8074D"/>
    <w:rsid w:val="5DCA0A78"/>
    <w:rsid w:val="5DCB69F5"/>
    <w:rsid w:val="5DD11793"/>
    <w:rsid w:val="5DD83C04"/>
    <w:rsid w:val="5DE90F56"/>
    <w:rsid w:val="5E0C6609"/>
    <w:rsid w:val="5E0D2FB0"/>
    <w:rsid w:val="5E134CE3"/>
    <w:rsid w:val="5E165E6D"/>
    <w:rsid w:val="5E192B5E"/>
    <w:rsid w:val="5E1C5169"/>
    <w:rsid w:val="5E1D4426"/>
    <w:rsid w:val="5E2037CF"/>
    <w:rsid w:val="5E2B190F"/>
    <w:rsid w:val="5E3D71AC"/>
    <w:rsid w:val="5E452AFB"/>
    <w:rsid w:val="5E457596"/>
    <w:rsid w:val="5E4D0765"/>
    <w:rsid w:val="5E550923"/>
    <w:rsid w:val="5E5A6E9D"/>
    <w:rsid w:val="5E8254A1"/>
    <w:rsid w:val="5E8717ED"/>
    <w:rsid w:val="5E8F0B44"/>
    <w:rsid w:val="5E9806CB"/>
    <w:rsid w:val="5E9973C8"/>
    <w:rsid w:val="5EC1175A"/>
    <w:rsid w:val="5ED51ADE"/>
    <w:rsid w:val="5EE04960"/>
    <w:rsid w:val="5EEC3488"/>
    <w:rsid w:val="5EF06536"/>
    <w:rsid w:val="5EF62943"/>
    <w:rsid w:val="5EF635F0"/>
    <w:rsid w:val="5F2B0A09"/>
    <w:rsid w:val="5F403D9D"/>
    <w:rsid w:val="5F5223FF"/>
    <w:rsid w:val="5F875A34"/>
    <w:rsid w:val="5F8D5E99"/>
    <w:rsid w:val="5F966ABD"/>
    <w:rsid w:val="5F9D714E"/>
    <w:rsid w:val="5FBD71DB"/>
    <w:rsid w:val="5FD117C0"/>
    <w:rsid w:val="5FE305AE"/>
    <w:rsid w:val="5FE9376B"/>
    <w:rsid w:val="60046E35"/>
    <w:rsid w:val="60225D15"/>
    <w:rsid w:val="60362D51"/>
    <w:rsid w:val="605A7C9E"/>
    <w:rsid w:val="606A5B2A"/>
    <w:rsid w:val="607C23DB"/>
    <w:rsid w:val="6080445F"/>
    <w:rsid w:val="60817BBC"/>
    <w:rsid w:val="60EB2C93"/>
    <w:rsid w:val="61007301"/>
    <w:rsid w:val="61031180"/>
    <w:rsid w:val="61111D51"/>
    <w:rsid w:val="611C5DB1"/>
    <w:rsid w:val="611F2EA9"/>
    <w:rsid w:val="612C1190"/>
    <w:rsid w:val="616468F8"/>
    <w:rsid w:val="61AC454A"/>
    <w:rsid w:val="61CF5854"/>
    <w:rsid w:val="61DF0FEA"/>
    <w:rsid w:val="61EB0C02"/>
    <w:rsid w:val="61FB6FC7"/>
    <w:rsid w:val="62253C05"/>
    <w:rsid w:val="62351783"/>
    <w:rsid w:val="623C77A1"/>
    <w:rsid w:val="624F3CFA"/>
    <w:rsid w:val="62527DA5"/>
    <w:rsid w:val="627C153F"/>
    <w:rsid w:val="62882E90"/>
    <w:rsid w:val="629658FC"/>
    <w:rsid w:val="629B2F29"/>
    <w:rsid w:val="629C4DB1"/>
    <w:rsid w:val="62B436A4"/>
    <w:rsid w:val="62BB2188"/>
    <w:rsid w:val="62C264B4"/>
    <w:rsid w:val="62ED3276"/>
    <w:rsid w:val="62FA7112"/>
    <w:rsid w:val="62FB3199"/>
    <w:rsid w:val="63073801"/>
    <w:rsid w:val="630A73C5"/>
    <w:rsid w:val="63261838"/>
    <w:rsid w:val="63453CBE"/>
    <w:rsid w:val="6367735E"/>
    <w:rsid w:val="637D4DEB"/>
    <w:rsid w:val="637D52B0"/>
    <w:rsid w:val="638B6559"/>
    <w:rsid w:val="63945C3E"/>
    <w:rsid w:val="63C96D02"/>
    <w:rsid w:val="63D64BAB"/>
    <w:rsid w:val="63DE39B7"/>
    <w:rsid w:val="63E543C1"/>
    <w:rsid w:val="63F44D3A"/>
    <w:rsid w:val="64011C7F"/>
    <w:rsid w:val="64066FDC"/>
    <w:rsid w:val="640D76C0"/>
    <w:rsid w:val="64236CA4"/>
    <w:rsid w:val="642857AE"/>
    <w:rsid w:val="64374636"/>
    <w:rsid w:val="648B1BFD"/>
    <w:rsid w:val="64990D47"/>
    <w:rsid w:val="64A123A9"/>
    <w:rsid w:val="64AD23A7"/>
    <w:rsid w:val="64B10C2C"/>
    <w:rsid w:val="64B14820"/>
    <w:rsid w:val="64BC32C7"/>
    <w:rsid w:val="64C0390D"/>
    <w:rsid w:val="64CF3FF6"/>
    <w:rsid w:val="64D8405B"/>
    <w:rsid w:val="64DB07C6"/>
    <w:rsid w:val="64E279F0"/>
    <w:rsid w:val="64EA220C"/>
    <w:rsid w:val="64EE61FF"/>
    <w:rsid w:val="6513399A"/>
    <w:rsid w:val="65152C15"/>
    <w:rsid w:val="654E2FBF"/>
    <w:rsid w:val="65B15CE6"/>
    <w:rsid w:val="65BF63AB"/>
    <w:rsid w:val="65C24844"/>
    <w:rsid w:val="65C354CE"/>
    <w:rsid w:val="65C80B6E"/>
    <w:rsid w:val="65CE38F7"/>
    <w:rsid w:val="65E14825"/>
    <w:rsid w:val="65F75409"/>
    <w:rsid w:val="66057D75"/>
    <w:rsid w:val="66111B9D"/>
    <w:rsid w:val="662D64D2"/>
    <w:rsid w:val="663660EB"/>
    <w:rsid w:val="664843CC"/>
    <w:rsid w:val="666118DC"/>
    <w:rsid w:val="666461A6"/>
    <w:rsid w:val="66655661"/>
    <w:rsid w:val="667417F6"/>
    <w:rsid w:val="667A2188"/>
    <w:rsid w:val="667C0730"/>
    <w:rsid w:val="667C54F4"/>
    <w:rsid w:val="66946FBB"/>
    <w:rsid w:val="66A971B9"/>
    <w:rsid w:val="66D033D4"/>
    <w:rsid w:val="66D06E14"/>
    <w:rsid w:val="66DA1D2A"/>
    <w:rsid w:val="66E71B1D"/>
    <w:rsid w:val="66FB3482"/>
    <w:rsid w:val="67021C51"/>
    <w:rsid w:val="67097837"/>
    <w:rsid w:val="670F7D5E"/>
    <w:rsid w:val="671F6FAF"/>
    <w:rsid w:val="67240C7C"/>
    <w:rsid w:val="67387E4A"/>
    <w:rsid w:val="673D2D5E"/>
    <w:rsid w:val="6747711A"/>
    <w:rsid w:val="674A25E2"/>
    <w:rsid w:val="675168C7"/>
    <w:rsid w:val="67685EF2"/>
    <w:rsid w:val="677671A1"/>
    <w:rsid w:val="67775CAC"/>
    <w:rsid w:val="67A517DB"/>
    <w:rsid w:val="67B334DC"/>
    <w:rsid w:val="67D94D2E"/>
    <w:rsid w:val="67E107BD"/>
    <w:rsid w:val="67F11ED6"/>
    <w:rsid w:val="6805118B"/>
    <w:rsid w:val="681A38D9"/>
    <w:rsid w:val="682E257A"/>
    <w:rsid w:val="68572311"/>
    <w:rsid w:val="68625174"/>
    <w:rsid w:val="68760DEA"/>
    <w:rsid w:val="688D235C"/>
    <w:rsid w:val="68C56272"/>
    <w:rsid w:val="68C80861"/>
    <w:rsid w:val="68D727A1"/>
    <w:rsid w:val="68E64FE6"/>
    <w:rsid w:val="68EF5DDE"/>
    <w:rsid w:val="690436D8"/>
    <w:rsid w:val="69262B12"/>
    <w:rsid w:val="692674EA"/>
    <w:rsid w:val="69283F50"/>
    <w:rsid w:val="692C69F5"/>
    <w:rsid w:val="693844B8"/>
    <w:rsid w:val="693D5C60"/>
    <w:rsid w:val="693E64E7"/>
    <w:rsid w:val="69405848"/>
    <w:rsid w:val="694A0B24"/>
    <w:rsid w:val="694E5350"/>
    <w:rsid w:val="6956585F"/>
    <w:rsid w:val="696455B3"/>
    <w:rsid w:val="69840655"/>
    <w:rsid w:val="698C59F0"/>
    <w:rsid w:val="69BD2119"/>
    <w:rsid w:val="69BF3FA6"/>
    <w:rsid w:val="69CE74A4"/>
    <w:rsid w:val="69E95F81"/>
    <w:rsid w:val="69F94C66"/>
    <w:rsid w:val="6A0B4AFD"/>
    <w:rsid w:val="6A1870BD"/>
    <w:rsid w:val="6A2A1C37"/>
    <w:rsid w:val="6A3B4A23"/>
    <w:rsid w:val="6A4F63E1"/>
    <w:rsid w:val="6A5722C1"/>
    <w:rsid w:val="6A5E6092"/>
    <w:rsid w:val="6A847A9E"/>
    <w:rsid w:val="6AA413C9"/>
    <w:rsid w:val="6ABD55AD"/>
    <w:rsid w:val="6AC42377"/>
    <w:rsid w:val="6AF020B1"/>
    <w:rsid w:val="6AF34968"/>
    <w:rsid w:val="6AF3767D"/>
    <w:rsid w:val="6AF755A2"/>
    <w:rsid w:val="6B0B2D67"/>
    <w:rsid w:val="6B1C0370"/>
    <w:rsid w:val="6B3602F4"/>
    <w:rsid w:val="6B44508B"/>
    <w:rsid w:val="6B4D0E74"/>
    <w:rsid w:val="6B4F0D0F"/>
    <w:rsid w:val="6B5136E7"/>
    <w:rsid w:val="6B6B5ECA"/>
    <w:rsid w:val="6B6C570B"/>
    <w:rsid w:val="6B783FDC"/>
    <w:rsid w:val="6B787743"/>
    <w:rsid w:val="6B7D2C66"/>
    <w:rsid w:val="6B876F24"/>
    <w:rsid w:val="6B922F7B"/>
    <w:rsid w:val="6B9675C5"/>
    <w:rsid w:val="6B9A3E75"/>
    <w:rsid w:val="6BAF3DC9"/>
    <w:rsid w:val="6BB24129"/>
    <w:rsid w:val="6BC849F9"/>
    <w:rsid w:val="6BCF626D"/>
    <w:rsid w:val="6BD467FC"/>
    <w:rsid w:val="6BE02668"/>
    <w:rsid w:val="6BE218E6"/>
    <w:rsid w:val="6BEF7609"/>
    <w:rsid w:val="6C1F3B26"/>
    <w:rsid w:val="6C3469C9"/>
    <w:rsid w:val="6C5F1E1F"/>
    <w:rsid w:val="6C667106"/>
    <w:rsid w:val="6C6F50A9"/>
    <w:rsid w:val="6C805459"/>
    <w:rsid w:val="6C907797"/>
    <w:rsid w:val="6C977140"/>
    <w:rsid w:val="6CAB6091"/>
    <w:rsid w:val="6CC230A4"/>
    <w:rsid w:val="6CC53DEB"/>
    <w:rsid w:val="6CD95AB8"/>
    <w:rsid w:val="6CEA50A2"/>
    <w:rsid w:val="6CEE47A0"/>
    <w:rsid w:val="6D210E00"/>
    <w:rsid w:val="6D2A3429"/>
    <w:rsid w:val="6D2F4299"/>
    <w:rsid w:val="6D333DC6"/>
    <w:rsid w:val="6D3C1778"/>
    <w:rsid w:val="6D476879"/>
    <w:rsid w:val="6D4A46BB"/>
    <w:rsid w:val="6D503E66"/>
    <w:rsid w:val="6D5201F9"/>
    <w:rsid w:val="6D622565"/>
    <w:rsid w:val="6D9042B1"/>
    <w:rsid w:val="6D971367"/>
    <w:rsid w:val="6DA83AFA"/>
    <w:rsid w:val="6DA840C3"/>
    <w:rsid w:val="6DB27A3B"/>
    <w:rsid w:val="6DCA545B"/>
    <w:rsid w:val="6DE14724"/>
    <w:rsid w:val="6E082CAB"/>
    <w:rsid w:val="6E114777"/>
    <w:rsid w:val="6E194DD5"/>
    <w:rsid w:val="6E2C7792"/>
    <w:rsid w:val="6E45635D"/>
    <w:rsid w:val="6E6B0590"/>
    <w:rsid w:val="6E7B7566"/>
    <w:rsid w:val="6E924DE8"/>
    <w:rsid w:val="6EA364E9"/>
    <w:rsid w:val="6EAD5420"/>
    <w:rsid w:val="6EB1034A"/>
    <w:rsid w:val="6EB46043"/>
    <w:rsid w:val="6ECE6828"/>
    <w:rsid w:val="6ED13EA2"/>
    <w:rsid w:val="6ED6172E"/>
    <w:rsid w:val="6F001C47"/>
    <w:rsid w:val="6F20670D"/>
    <w:rsid w:val="6F206E8C"/>
    <w:rsid w:val="6F33620A"/>
    <w:rsid w:val="6F420969"/>
    <w:rsid w:val="6F4259AD"/>
    <w:rsid w:val="6F590C2D"/>
    <w:rsid w:val="6F5C7892"/>
    <w:rsid w:val="6F5D1E28"/>
    <w:rsid w:val="6F7655C4"/>
    <w:rsid w:val="6F7800FE"/>
    <w:rsid w:val="6F7B7959"/>
    <w:rsid w:val="6F830903"/>
    <w:rsid w:val="6F862A2D"/>
    <w:rsid w:val="6FA4640B"/>
    <w:rsid w:val="6FB410D2"/>
    <w:rsid w:val="6FCE2827"/>
    <w:rsid w:val="6FCF438D"/>
    <w:rsid w:val="6FD05AFF"/>
    <w:rsid w:val="6FD37BAC"/>
    <w:rsid w:val="6FD82DA3"/>
    <w:rsid w:val="6FEE7430"/>
    <w:rsid w:val="6FF165BF"/>
    <w:rsid w:val="6FFE7E49"/>
    <w:rsid w:val="703F6AB7"/>
    <w:rsid w:val="704165E1"/>
    <w:rsid w:val="70443042"/>
    <w:rsid w:val="70460DD2"/>
    <w:rsid w:val="704F5B2D"/>
    <w:rsid w:val="706865F7"/>
    <w:rsid w:val="7069467B"/>
    <w:rsid w:val="70733F53"/>
    <w:rsid w:val="707A1CF5"/>
    <w:rsid w:val="708556B8"/>
    <w:rsid w:val="708639A7"/>
    <w:rsid w:val="708E6429"/>
    <w:rsid w:val="70B00070"/>
    <w:rsid w:val="70E153DB"/>
    <w:rsid w:val="70E43FBF"/>
    <w:rsid w:val="70EB0325"/>
    <w:rsid w:val="71185FE1"/>
    <w:rsid w:val="711F272F"/>
    <w:rsid w:val="71294C5D"/>
    <w:rsid w:val="712D10E0"/>
    <w:rsid w:val="71422839"/>
    <w:rsid w:val="71515C54"/>
    <w:rsid w:val="717D5C2A"/>
    <w:rsid w:val="7199551E"/>
    <w:rsid w:val="719A1579"/>
    <w:rsid w:val="719F79B0"/>
    <w:rsid w:val="71A20F41"/>
    <w:rsid w:val="71A72AF0"/>
    <w:rsid w:val="71B279C0"/>
    <w:rsid w:val="71B905C0"/>
    <w:rsid w:val="71CE5372"/>
    <w:rsid w:val="71E768C2"/>
    <w:rsid w:val="71EE7A69"/>
    <w:rsid w:val="71F00988"/>
    <w:rsid w:val="721D27C5"/>
    <w:rsid w:val="721E014B"/>
    <w:rsid w:val="723A48A0"/>
    <w:rsid w:val="72403F1F"/>
    <w:rsid w:val="72437F8B"/>
    <w:rsid w:val="72457D96"/>
    <w:rsid w:val="724E5F64"/>
    <w:rsid w:val="724F3A3B"/>
    <w:rsid w:val="72533ED7"/>
    <w:rsid w:val="72630FEF"/>
    <w:rsid w:val="72746733"/>
    <w:rsid w:val="72812842"/>
    <w:rsid w:val="72984DF8"/>
    <w:rsid w:val="72A152A2"/>
    <w:rsid w:val="72BF19B3"/>
    <w:rsid w:val="72D559AD"/>
    <w:rsid w:val="72E30C7F"/>
    <w:rsid w:val="72F94194"/>
    <w:rsid w:val="73043E3F"/>
    <w:rsid w:val="730936E0"/>
    <w:rsid w:val="730971D0"/>
    <w:rsid w:val="731977F3"/>
    <w:rsid w:val="73326A8A"/>
    <w:rsid w:val="7337769F"/>
    <w:rsid w:val="7338789F"/>
    <w:rsid w:val="733D3E06"/>
    <w:rsid w:val="734A4AE6"/>
    <w:rsid w:val="734A6AA6"/>
    <w:rsid w:val="73586838"/>
    <w:rsid w:val="73595E73"/>
    <w:rsid w:val="736C4439"/>
    <w:rsid w:val="73771904"/>
    <w:rsid w:val="7383044C"/>
    <w:rsid w:val="73A51C9B"/>
    <w:rsid w:val="73BE4DF5"/>
    <w:rsid w:val="73D4399E"/>
    <w:rsid w:val="74017DF2"/>
    <w:rsid w:val="741203C8"/>
    <w:rsid w:val="74242B2D"/>
    <w:rsid w:val="742524FB"/>
    <w:rsid w:val="742D6B13"/>
    <w:rsid w:val="7432466D"/>
    <w:rsid w:val="74447D18"/>
    <w:rsid w:val="7446632A"/>
    <w:rsid w:val="74521A5D"/>
    <w:rsid w:val="74563626"/>
    <w:rsid w:val="74697E69"/>
    <w:rsid w:val="747131BB"/>
    <w:rsid w:val="74753105"/>
    <w:rsid w:val="747E1420"/>
    <w:rsid w:val="748549B7"/>
    <w:rsid w:val="748B71DB"/>
    <w:rsid w:val="748C0B99"/>
    <w:rsid w:val="749724B9"/>
    <w:rsid w:val="749C3ADE"/>
    <w:rsid w:val="74B55D10"/>
    <w:rsid w:val="74B70859"/>
    <w:rsid w:val="74FF51CE"/>
    <w:rsid w:val="75073C41"/>
    <w:rsid w:val="75247BB6"/>
    <w:rsid w:val="75296BD9"/>
    <w:rsid w:val="752F7773"/>
    <w:rsid w:val="756458B1"/>
    <w:rsid w:val="7567025D"/>
    <w:rsid w:val="756A258B"/>
    <w:rsid w:val="756D3E86"/>
    <w:rsid w:val="75716D25"/>
    <w:rsid w:val="757875D5"/>
    <w:rsid w:val="75824561"/>
    <w:rsid w:val="759F607C"/>
    <w:rsid w:val="75A7154A"/>
    <w:rsid w:val="75C816B2"/>
    <w:rsid w:val="75CF34C4"/>
    <w:rsid w:val="75D7614F"/>
    <w:rsid w:val="75E32189"/>
    <w:rsid w:val="75EA2A13"/>
    <w:rsid w:val="76020A07"/>
    <w:rsid w:val="76120196"/>
    <w:rsid w:val="76172844"/>
    <w:rsid w:val="762B7071"/>
    <w:rsid w:val="76517ABA"/>
    <w:rsid w:val="76592E52"/>
    <w:rsid w:val="765D18BF"/>
    <w:rsid w:val="766571C2"/>
    <w:rsid w:val="76674A08"/>
    <w:rsid w:val="766D792A"/>
    <w:rsid w:val="76826371"/>
    <w:rsid w:val="7691363E"/>
    <w:rsid w:val="76926936"/>
    <w:rsid w:val="76A35793"/>
    <w:rsid w:val="76B51078"/>
    <w:rsid w:val="76CA2AA7"/>
    <w:rsid w:val="770C1260"/>
    <w:rsid w:val="771866CA"/>
    <w:rsid w:val="771922C1"/>
    <w:rsid w:val="771E79BF"/>
    <w:rsid w:val="773C4086"/>
    <w:rsid w:val="774C2FF4"/>
    <w:rsid w:val="774E33C8"/>
    <w:rsid w:val="7756677A"/>
    <w:rsid w:val="77601733"/>
    <w:rsid w:val="77633CDF"/>
    <w:rsid w:val="776C3A0B"/>
    <w:rsid w:val="77707E62"/>
    <w:rsid w:val="77764EDB"/>
    <w:rsid w:val="77781C39"/>
    <w:rsid w:val="777C610E"/>
    <w:rsid w:val="779D493C"/>
    <w:rsid w:val="77A63161"/>
    <w:rsid w:val="77BD1A4F"/>
    <w:rsid w:val="77C16C09"/>
    <w:rsid w:val="77DB44AA"/>
    <w:rsid w:val="77DE24AA"/>
    <w:rsid w:val="77F82870"/>
    <w:rsid w:val="780048EE"/>
    <w:rsid w:val="780F16FC"/>
    <w:rsid w:val="781362B2"/>
    <w:rsid w:val="7815400D"/>
    <w:rsid w:val="781E0715"/>
    <w:rsid w:val="78254EE2"/>
    <w:rsid w:val="78304CBF"/>
    <w:rsid w:val="783249C6"/>
    <w:rsid w:val="78385E42"/>
    <w:rsid w:val="783D276A"/>
    <w:rsid w:val="784B4DD8"/>
    <w:rsid w:val="784C579F"/>
    <w:rsid w:val="78551AB7"/>
    <w:rsid w:val="785822F1"/>
    <w:rsid w:val="78757AB5"/>
    <w:rsid w:val="787F3343"/>
    <w:rsid w:val="78874956"/>
    <w:rsid w:val="788B7386"/>
    <w:rsid w:val="78904985"/>
    <w:rsid w:val="78966694"/>
    <w:rsid w:val="78AB5C43"/>
    <w:rsid w:val="78B3438A"/>
    <w:rsid w:val="78CE7B37"/>
    <w:rsid w:val="78D50A0E"/>
    <w:rsid w:val="78DE298D"/>
    <w:rsid w:val="78E800B8"/>
    <w:rsid w:val="78F45691"/>
    <w:rsid w:val="78FB3070"/>
    <w:rsid w:val="790B10F2"/>
    <w:rsid w:val="79145815"/>
    <w:rsid w:val="791578F9"/>
    <w:rsid w:val="792167EA"/>
    <w:rsid w:val="792E56B4"/>
    <w:rsid w:val="796179EF"/>
    <w:rsid w:val="796D7DE1"/>
    <w:rsid w:val="796F32A2"/>
    <w:rsid w:val="797B307C"/>
    <w:rsid w:val="798177ED"/>
    <w:rsid w:val="79AE5D71"/>
    <w:rsid w:val="79D143EB"/>
    <w:rsid w:val="79E7763B"/>
    <w:rsid w:val="7A25148A"/>
    <w:rsid w:val="7A301B34"/>
    <w:rsid w:val="7A3D3FD5"/>
    <w:rsid w:val="7A4E520C"/>
    <w:rsid w:val="7A741FB5"/>
    <w:rsid w:val="7A8D1B84"/>
    <w:rsid w:val="7A8D678E"/>
    <w:rsid w:val="7A94555F"/>
    <w:rsid w:val="7AAA6362"/>
    <w:rsid w:val="7AB91600"/>
    <w:rsid w:val="7AC371F6"/>
    <w:rsid w:val="7AD81093"/>
    <w:rsid w:val="7AEA7616"/>
    <w:rsid w:val="7B196709"/>
    <w:rsid w:val="7B5812CA"/>
    <w:rsid w:val="7B5F2D56"/>
    <w:rsid w:val="7B615DFB"/>
    <w:rsid w:val="7B646E38"/>
    <w:rsid w:val="7B7457D0"/>
    <w:rsid w:val="7B841A35"/>
    <w:rsid w:val="7BBB6CBC"/>
    <w:rsid w:val="7BE074DC"/>
    <w:rsid w:val="7BFB51FE"/>
    <w:rsid w:val="7BFC2B75"/>
    <w:rsid w:val="7BFE37B9"/>
    <w:rsid w:val="7C000401"/>
    <w:rsid w:val="7C0B677A"/>
    <w:rsid w:val="7C0F06D6"/>
    <w:rsid w:val="7C1D0E9C"/>
    <w:rsid w:val="7C2720BC"/>
    <w:rsid w:val="7C2D6263"/>
    <w:rsid w:val="7C376A3B"/>
    <w:rsid w:val="7C417552"/>
    <w:rsid w:val="7C476872"/>
    <w:rsid w:val="7C515881"/>
    <w:rsid w:val="7C866EFE"/>
    <w:rsid w:val="7C940282"/>
    <w:rsid w:val="7CA21C8A"/>
    <w:rsid w:val="7CAF571D"/>
    <w:rsid w:val="7CBF2600"/>
    <w:rsid w:val="7CD640A2"/>
    <w:rsid w:val="7CDA0EE7"/>
    <w:rsid w:val="7CEE1FD3"/>
    <w:rsid w:val="7CF9134A"/>
    <w:rsid w:val="7D062F15"/>
    <w:rsid w:val="7D134390"/>
    <w:rsid w:val="7D1F6BD7"/>
    <w:rsid w:val="7D623BAF"/>
    <w:rsid w:val="7D653516"/>
    <w:rsid w:val="7D6C0E17"/>
    <w:rsid w:val="7D6E4856"/>
    <w:rsid w:val="7D730CDE"/>
    <w:rsid w:val="7D9112D6"/>
    <w:rsid w:val="7D9A5180"/>
    <w:rsid w:val="7DB5670D"/>
    <w:rsid w:val="7DBA7854"/>
    <w:rsid w:val="7DE5359B"/>
    <w:rsid w:val="7DF43174"/>
    <w:rsid w:val="7E016B5F"/>
    <w:rsid w:val="7E0235C5"/>
    <w:rsid w:val="7E0F51A9"/>
    <w:rsid w:val="7E1352BE"/>
    <w:rsid w:val="7E1E7508"/>
    <w:rsid w:val="7E2257AD"/>
    <w:rsid w:val="7E3C434B"/>
    <w:rsid w:val="7E427C80"/>
    <w:rsid w:val="7E456679"/>
    <w:rsid w:val="7E471022"/>
    <w:rsid w:val="7E545CE0"/>
    <w:rsid w:val="7E62219A"/>
    <w:rsid w:val="7E6D0391"/>
    <w:rsid w:val="7E7E4B34"/>
    <w:rsid w:val="7E885133"/>
    <w:rsid w:val="7E8D663F"/>
    <w:rsid w:val="7E9115EF"/>
    <w:rsid w:val="7E941A99"/>
    <w:rsid w:val="7ED30C0C"/>
    <w:rsid w:val="7EE5313E"/>
    <w:rsid w:val="7EEB3DFF"/>
    <w:rsid w:val="7EF127D4"/>
    <w:rsid w:val="7F005EF6"/>
    <w:rsid w:val="7F1B3139"/>
    <w:rsid w:val="7F25635B"/>
    <w:rsid w:val="7F257EA7"/>
    <w:rsid w:val="7F266433"/>
    <w:rsid w:val="7F3C0A6B"/>
    <w:rsid w:val="7F3D7AF6"/>
    <w:rsid w:val="7F3F79E5"/>
    <w:rsid w:val="7F4245BE"/>
    <w:rsid w:val="7F5C6600"/>
    <w:rsid w:val="7F5E340E"/>
    <w:rsid w:val="7F7C4195"/>
    <w:rsid w:val="7F902275"/>
    <w:rsid w:val="7FA0420F"/>
    <w:rsid w:val="7FA80B96"/>
    <w:rsid w:val="7FAA2964"/>
    <w:rsid w:val="7FBD5C2A"/>
    <w:rsid w:val="7FD33CBE"/>
    <w:rsid w:val="7FEB0680"/>
    <w:rsid w:val="7FEE5B6F"/>
    <w:rsid w:val="7FFA184F"/>
    <w:rsid w:val="7FFF0F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24"/>
      <w:lang w:val="en-US" w:eastAsia="zh-CN" w:bidi="ar-SA"/>
    </w:rPr>
  </w:style>
  <w:style w:type="paragraph" w:styleId="3">
    <w:name w:val="heading 1"/>
    <w:basedOn w:val="1"/>
    <w:next w:val="1"/>
    <w:qFormat/>
    <w:uiPriority w:val="0"/>
    <w:pPr>
      <w:keepNext/>
      <w:tabs>
        <w:tab w:val="left" w:pos="3360"/>
      </w:tabs>
      <w:snapToGrid w:val="0"/>
      <w:spacing w:beforeLines="50" w:afterLines="50" w:line="800" w:lineRule="atLeast"/>
      <w:jc w:val="center"/>
      <w:outlineLvl w:val="0"/>
    </w:pPr>
    <w:rPr>
      <w:rFonts w:eastAsia="方正小标宋简体"/>
      <w:sz w:val="44"/>
    </w:rPr>
  </w:style>
  <w:style w:type="paragraph" w:styleId="4">
    <w:name w:val="heading 2"/>
    <w:basedOn w:val="1"/>
    <w:next w:val="1"/>
    <w:link w:val="37"/>
    <w:qFormat/>
    <w:uiPriority w:val="0"/>
    <w:pPr>
      <w:keepNext/>
      <w:keepLines/>
      <w:adjustRightInd w:val="0"/>
      <w:snapToGrid w:val="0"/>
      <w:ind w:firstLine="200" w:firstLineChars="200"/>
      <w:jc w:val="left"/>
      <w:outlineLvl w:val="1"/>
    </w:pPr>
    <w:rPr>
      <w:rFonts w:ascii="宋体" w:hAnsi="宋体"/>
      <w:b/>
      <w:color w:val="943734"/>
      <w:kern w:val="0"/>
      <w:sz w:val="28"/>
    </w:rPr>
  </w:style>
  <w:style w:type="paragraph" w:styleId="5">
    <w:name w:val="heading 3"/>
    <w:basedOn w:val="1"/>
    <w:next w:val="1"/>
    <w:qFormat/>
    <w:uiPriority w:val="0"/>
    <w:pPr>
      <w:keepNext/>
      <w:keepLines/>
      <w:spacing w:line="560" w:lineRule="exact"/>
      <w:outlineLvl w:val="2"/>
    </w:pPr>
    <w:rPr>
      <w:rFonts w:eastAsia="方正楷体_GBK"/>
      <w:b/>
      <w:bCs/>
      <w:szCs w:val="32"/>
    </w:rPr>
  </w:style>
  <w:style w:type="character" w:default="1" w:styleId="26">
    <w:name w:val="Default Paragraph Font"/>
    <w:unhideWhenUsed/>
    <w:qFormat/>
    <w:uiPriority w:val="1"/>
  </w:style>
  <w:style w:type="table" w:default="1" w:styleId="24">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39"/>
    <w:qFormat/>
    <w:uiPriority w:val="0"/>
  </w:style>
  <w:style w:type="paragraph" w:styleId="6">
    <w:name w:val="annotation text"/>
    <w:basedOn w:val="1"/>
    <w:next w:val="7"/>
    <w:qFormat/>
    <w:uiPriority w:val="0"/>
    <w:pPr>
      <w:jc w:val="left"/>
    </w:pPr>
  </w:style>
  <w:style w:type="paragraph" w:styleId="7">
    <w:name w:val="annotation subject"/>
    <w:next w:val="6"/>
    <w:qFormat/>
    <w:uiPriority w:val="0"/>
    <w:pPr>
      <w:widowControl w:val="0"/>
    </w:pPr>
    <w:rPr>
      <w:rFonts w:ascii="Times New Roman" w:hAnsi="Times New Roman" w:eastAsia="宋体" w:cs="Times New Roman"/>
      <w:b/>
      <w:sz w:val="21"/>
      <w:lang w:val="en-US" w:eastAsia="zh-CN" w:bidi="ar-SA"/>
    </w:rPr>
  </w:style>
  <w:style w:type="paragraph" w:styleId="8">
    <w:name w:val="Body Text Indent"/>
    <w:basedOn w:val="1"/>
    <w:qFormat/>
    <w:uiPriority w:val="0"/>
    <w:pPr>
      <w:spacing w:line="700" w:lineRule="exact"/>
      <w:ind w:left="960"/>
    </w:pPr>
    <w:rPr>
      <w:rFonts w:ascii="Calibri" w:hAnsi="Calibri"/>
      <w:sz w:val="44"/>
    </w:rPr>
  </w:style>
  <w:style w:type="paragraph" w:styleId="9">
    <w:name w:val="toc 3"/>
    <w:basedOn w:val="1"/>
    <w:next w:val="1"/>
    <w:qFormat/>
    <w:uiPriority w:val="0"/>
    <w:pPr>
      <w:ind w:left="840" w:leftChars="400"/>
    </w:pPr>
  </w:style>
  <w:style w:type="paragraph" w:styleId="10">
    <w:name w:val="Plain Text"/>
    <w:basedOn w:val="1"/>
    <w:next w:val="1"/>
    <w:qFormat/>
    <w:uiPriority w:val="0"/>
    <w:rPr>
      <w:rFonts w:ascii="宋体" w:hAnsi="Courier New"/>
      <w:sz w:val="21"/>
    </w:rPr>
  </w:style>
  <w:style w:type="paragraph" w:styleId="11">
    <w:name w:val="Date"/>
    <w:basedOn w:val="1"/>
    <w:next w:val="1"/>
    <w:qFormat/>
    <w:uiPriority w:val="0"/>
  </w:style>
  <w:style w:type="paragraph" w:styleId="12">
    <w:name w:val="Body Text Indent 2"/>
    <w:basedOn w:val="1"/>
    <w:qFormat/>
    <w:uiPriority w:val="0"/>
    <w:pPr>
      <w:snapToGrid w:val="0"/>
      <w:spacing w:line="560" w:lineRule="atLeast"/>
      <w:ind w:firstLine="540"/>
    </w:pPr>
  </w:style>
  <w:style w:type="paragraph" w:styleId="13">
    <w:name w:val="Balloon Text"/>
    <w:basedOn w:val="1"/>
    <w:link w:val="41"/>
    <w:unhideWhenUsed/>
    <w:qFormat/>
    <w:uiPriority w:val="0"/>
    <w:rPr>
      <w:rFonts w:ascii="Calibri" w:hAnsi="Calibri" w:eastAsia="宋体"/>
      <w:sz w:val="18"/>
      <w:szCs w:val="18"/>
    </w:rPr>
  </w:style>
  <w:style w:type="paragraph" w:styleId="14">
    <w:name w:val="footer"/>
    <w:basedOn w:val="1"/>
    <w:next w:val="15"/>
    <w:qFormat/>
    <w:uiPriority w:val="0"/>
    <w:pPr>
      <w:tabs>
        <w:tab w:val="center" w:pos="4153"/>
        <w:tab w:val="right" w:pos="8306"/>
      </w:tabs>
      <w:snapToGrid w:val="0"/>
      <w:jc w:val="left"/>
    </w:pPr>
    <w:rPr>
      <w:sz w:val="18"/>
    </w:rPr>
  </w:style>
  <w:style w:type="paragraph" w:customStyle="1" w:styleId="15">
    <w:name w:val="索引 51"/>
    <w:basedOn w:val="1"/>
    <w:next w:val="1"/>
    <w:qFormat/>
    <w:uiPriority w:val="99"/>
    <w:pPr>
      <w:ind w:left="1680"/>
    </w:pPr>
  </w:style>
  <w:style w:type="paragraph" w:styleId="16">
    <w:name w:val="header"/>
    <w:basedOn w:val="1"/>
    <w:qFormat/>
    <w:uiPriority w:val="0"/>
    <w:pPr>
      <w:pBdr>
        <w:bottom w:val="single" w:color="auto" w:sz="6" w:space="1"/>
      </w:pBdr>
      <w:tabs>
        <w:tab w:val="center" w:pos="4153"/>
        <w:tab w:val="right" w:pos="8306"/>
      </w:tabs>
      <w:snapToGrid w:val="0"/>
      <w:jc w:val="center"/>
    </w:pPr>
    <w:rPr>
      <w:sz w:val="18"/>
    </w:rPr>
  </w:style>
  <w:style w:type="paragraph" w:styleId="17">
    <w:name w:val="toc 1"/>
    <w:basedOn w:val="1"/>
    <w:next w:val="1"/>
    <w:qFormat/>
    <w:uiPriority w:val="39"/>
    <w:pPr>
      <w:jc w:val="left"/>
    </w:pPr>
    <w:rPr>
      <w:b/>
      <w:bCs/>
      <w:caps/>
      <w:sz w:val="20"/>
    </w:rPr>
  </w:style>
  <w:style w:type="paragraph" w:styleId="18">
    <w:name w:val="footnote text"/>
    <w:basedOn w:val="1"/>
    <w:qFormat/>
    <w:uiPriority w:val="0"/>
    <w:pPr>
      <w:snapToGrid w:val="0"/>
      <w:jc w:val="left"/>
    </w:pPr>
    <w:rPr>
      <w:rFonts w:hint="eastAsia" w:ascii="等线" w:hAnsi="等线" w:eastAsia="等线"/>
      <w:sz w:val="18"/>
      <w:szCs w:val="22"/>
    </w:rPr>
  </w:style>
  <w:style w:type="paragraph" w:styleId="19">
    <w:name w:val="toc 2"/>
    <w:basedOn w:val="1"/>
    <w:next w:val="1"/>
    <w:qFormat/>
    <w:uiPriority w:val="39"/>
    <w:pPr>
      <w:ind w:left="420" w:leftChars="200"/>
    </w:pPr>
  </w:style>
  <w:style w:type="paragraph" w:styleId="20">
    <w:name w:val="Normal (Web)"/>
    <w:basedOn w:val="1"/>
    <w:qFormat/>
    <w:uiPriority w:val="0"/>
    <w:pPr>
      <w:widowControl/>
      <w:jc w:val="left"/>
    </w:pPr>
    <w:rPr>
      <w:rFonts w:ascii="宋体" w:hAnsi="宋体" w:cs="宋体"/>
      <w:kern w:val="0"/>
    </w:rPr>
  </w:style>
  <w:style w:type="paragraph" w:styleId="21">
    <w:name w:val="Title"/>
    <w:basedOn w:val="1"/>
    <w:qFormat/>
    <w:uiPriority w:val="0"/>
    <w:pPr>
      <w:widowControl/>
      <w:spacing w:after="240" w:line="360" w:lineRule="auto"/>
      <w:jc w:val="center"/>
    </w:pPr>
    <w:rPr>
      <w:rFonts w:ascii="Arial" w:hAnsi="Arial"/>
      <w:b/>
      <w:smallCaps/>
      <w:kern w:val="28"/>
      <w:sz w:val="36"/>
      <w:szCs w:val="20"/>
      <w:lang w:eastAsia="en-US"/>
    </w:rPr>
  </w:style>
  <w:style w:type="paragraph" w:styleId="22">
    <w:name w:val="Body Text First Indent"/>
    <w:basedOn w:val="2"/>
    <w:next w:val="1"/>
    <w:qFormat/>
    <w:uiPriority w:val="0"/>
    <w:pPr>
      <w:spacing w:line="360" w:lineRule="auto"/>
      <w:ind w:firstLine="420"/>
    </w:pPr>
    <w:rPr>
      <w:rFonts w:ascii="宋体" w:hAnsi="宋体"/>
    </w:rPr>
  </w:style>
  <w:style w:type="paragraph" w:styleId="23">
    <w:name w:val="Body Text First Indent 2"/>
    <w:basedOn w:val="8"/>
    <w:qFormat/>
    <w:uiPriority w:val="0"/>
    <w:pPr>
      <w:spacing w:line="240" w:lineRule="auto"/>
      <w:ind w:left="420" w:leftChars="200" w:firstLine="420" w:firstLineChars="200"/>
    </w:pPr>
    <w:rPr>
      <w:rFonts w:ascii="Times New Roman" w:hAnsi="Times New Roman"/>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qFormat/>
    <w:uiPriority w:val="22"/>
    <w:rPr>
      <w:b/>
      <w:bCs/>
    </w:rPr>
  </w:style>
  <w:style w:type="character" w:styleId="28">
    <w:name w:val="page number"/>
    <w:basedOn w:val="26"/>
    <w:qFormat/>
    <w:uiPriority w:val="0"/>
  </w:style>
  <w:style w:type="character" w:styleId="29">
    <w:name w:val="FollowedHyperlink"/>
    <w:qFormat/>
    <w:uiPriority w:val="0"/>
    <w:rPr>
      <w:color w:val="800080"/>
      <w:u w:val="single"/>
    </w:rPr>
  </w:style>
  <w:style w:type="character" w:styleId="30">
    <w:name w:val="Hyperlink"/>
    <w:qFormat/>
    <w:uiPriority w:val="99"/>
    <w:rPr>
      <w:color w:val="0000FF"/>
      <w:u w:val="single"/>
    </w:rPr>
  </w:style>
  <w:style w:type="character" w:styleId="31">
    <w:name w:val="annotation reference"/>
    <w:qFormat/>
    <w:uiPriority w:val="0"/>
    <w:rPr>
      <w:sz w:val="21"/>
      <w:szCs w:val="21"/>
    </w:rPr>
  </w:style>
  <w:style w:type="character" w:styleId="32">
    <w:name w:val="footnote reference"/>
    <w:qFormat/>
    <w:uiPriority w:val="0"/>
    <w:rPr>
      <w:vertAlign w:val="superscript"/>
    </w:rPr>
  </w:style>
  <w:style w:type="paragraph" w:customStyle="1" w:styleId="33">
    <w:name w:val="正文1"/>
    <w:basedOn w:val="1"/>
    <w:next w:val="1"/>
    <w:qFormat/>
    <w:uiPriority w:val="0"/>
    <w:pPr>
      <w:spacing w:line="300" w:lineRule="auto"/>
      <w:ind w:firstLine="200" w:firstLineChars="200"/>
    </w:pPr>
    <w:rPr>
      <w:sz w:val="24"/>
    </w:rPr>
  </w:style>
  <w:style w:type="paragraph" w:customStyle="1" w:styleId="34">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styleId="35">
    <w:name w:val="Quote"/>
    <w:basedOn w:val="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paragraph" w:customStyle="1" w:styleId="36">
    <w:name w:val="目录 53"/>
    <w:next w:val="1"/>
    <w:qFormat/>
    <w:uiPriority w:val="0"/>
    <w:pPr>
      <w:wordWrap w:val="0"/>
      <w:ind w:left="1275"/>
      <w:jc w:val="both"/>
    </w:pPr>
    <w:rPr>
      <w:rFonts w:ascii="Times New Roman" w:hAnsi="Times New Roman" w:eastAsia="宋体" w:cs="Times New Roman"/>
      <w:sz w:val="21"/>
      <w:lang w:val="en-US" w:eastAsia="zh-CN" w:bidi="ar-SA"/>
    </w:rPr>
  </w:style>
  <w:style w:type="character" w:customStyle="1" w:styleId="37">
    <w:name w:val="标题 2 Char1"/>
    <w:link w:val="4"/>
    <w:qFormat/>
    <w:uiPriority w:val="0"/>
    <w:rPr>
      <w:rFonts w:ascii="宋体" w:hAnsi="宋体" w:eastAsia="方正仿宋_GBK"/>
      <w:b/>
      <w:color w:val="943734"/>
      <w:sz w:val="28"/>
    </w:rPr>
  </w:style>
  <w:style w:type="character" w:customStyle="1" w:styleId="38">
    <w:name w:val="NormalCharacter"/>
    <w:qFormat/>
    <w:uiPriority w:val="0"/>
    <w:rPr>
      <w:rFonts w:eastAsia="方正仿宋_GBK"/>
      <w:kern w:val="2"/>
      <w:sz w:val="24"/>
      <w:lang w:val="en-US" w:eastAsia="zh-CN" w:bidi="ar-SA"/>
    </w:rPr>
  </w:style>
  <w:style w:type="character" w:customStyle="1" w:styleId="39">
    <w:name w:val="正文文本 Char"/>
    <w:link w:val="2"/>
    <w:qFormat/>
    <w:uiPriority w:val="0"/>
    <w:rPr>
      <w:rFonts w:eastAsia="方正仿宋_GBK"/>
      <w:kern w:val="2"/>
      <w:sz w:val="24"/>
    </w:rPr>
  </w:style>
  <w:style w:type="character" w:customStyle="1" w:styleId="40">
    <w:name w:val="标题 2 Char"/>
    <w:qFormat/>
    <w:uiPriority w:val="0"/>
    <w:rPr>
      <w:rFonts w:ascii="宋体" w:hAnsi="宋体" w:eastAsia="方正仿宋_GBK"/>
      <w:b/>
      <w:sz w:val="28"/>
    </w:rPr>
  </w:style>
  <w:style w:type="character" w:customStyle="1" w:styleId="41">
    <w:name w:val="批注框文本 Char"/>
    <w:link w:val="13"/>
    <w:qFormat/>
    <w:uiPriority w:val="0"/>
    <w:rPr>
      <w:rFonts w:hint="default" w:ascii="Calibri" w:hAnsi="Calibri" w:cs="Calibri"/>
      <w:kern w:val="2"/>
      <w:sz w:val="18"/>
      <w:szCs w:val="18"/>
    </w:rPr>
  </w:style>
  <w:style w:type="character" w:customStyle="1" w:styleId="42">
    <w:name w:val="标题 2 字符"/>
    <w:qFormat/>
    <w:uiPriority w:val="0"/>
    <w:rPr>
      <w:rFonts w:ascii="等线 Light" w:hAnsi="等线 Light" w:eastAsia="等线 Light" w:cs="Times New Roman"/>
      <w:b/>
      <w:kern w:val="2"/>
      <w:sz w:val="32"/>
      <w:szCs w:val="32"/>
    </w:rPr>
  </w:style>
  <w:style w:type="character" w:customStyle="1" w:styleId="43">
    <w:name w:val="正文字 字符"/>
    <w:link w:val="44"/>
    <w:qFormat/>
    <w:uiPriority w:val="0"/>
    <w:rPr>
      <w:rFonts w:ascii="方正仿宋_GBK" w:hAnsi="宋体" w:eastAsia="方正仿宋_GBK"/>
      <w:kern w:val="2"/>
      <w:sz w:val="24"/>
      <w:szCs w:val="24"/>
    </w:rPr>
  </w:style>
  <w:style w:type="paragraph" w:customStyle="1" w:styleId="44">
    <w:name w:val="正文字"/>
    <w:basedOn w:val="1"/>
    <w:link w:val="43"/>
    <w:qFormat/>
    <w:uiPriority w:val="0"/>
    <w:pPr>
      <w:snapToGrid w:val="0"/>
      <w:spacing w:line="400" w:lineRule="exact"/>
      <w:ind w:firstLine="480" w:firstLineChars="200"/>
    </w:pPr>
    <w:rPr>
      <w:rFonts w:ascii="方正仿宋_GBK" w:hAnsi="宋体"/>
      <w:szCs w:val="24"/>
    </w:rPr>
  </w:style>
  <w:style w:type="paragraph" w:customStyle="1" w:styleId="45">
    <w:name w:val="列出段落1"/>
    <w:basedOn w:val="1"/>
    <w:qFormat/>
    <w:uiPriority w:val="99"/>
    <w:pPr>
      <w:ind w:firstLine="420" w:firstLineChars="200"/>
    </w:pPr>
    <w:rPr>
      <w:rFonts w:ascii="Calibri" w:hAnsi="Calibri"/>
      <w:sz w:val="28"/>
    </w:rPr>
  </w:style>
  <w:style w:type="paragraph" w:customStyle="1" w:styleId="46">
    <w:name w:val="正文缩进1"/>
    <w:basedOn w:val="1"/>
    <w:qFormat/>
    <w:uiPriority w:val="0"/>
    <w:pPr>
      <w:ind w:firstLine="420" w:firstLineChars="200"/>
    </w:pPr>
    <w:rPr>
      <w:sz w:val="32"/>
    </w:rPr>
  </w:style>
  <w:style w:type="paragraph" w:customStyle="1" w:styleId="47">
    <w:name w:val="1"/>
    <w:basedOn w:val="1"/>
    <w:next w:val="10"/>
    <w:qFormat/>
    <w:uiPriority w:val="0"/>
    <w:rPr>
      <w:rFonts w:ascii="宋体" w:hAnsi="Courier New"/>
      <w:sz w:val="21"/>
    </w:rPr>
  </w:style>
  <w:style w:type="paragraph" w:customStyle="1" w:styleId="48">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9">
    <w:name w:val="_Style 41"/>
    <w:basedOn w:val="3"/>
    <w:next w:val="1"/>
    <w:qFormat/>
    <w:uiPriority w:val="39"/>
    <w:pPr>
      <w:keepLines/>
      <w:widowControl/>
      <w:tabs>
        <w:tab w:val="clear" w:pos="3360"/>
      </w:tabs>
      <w:snapToGrid/>
      <w:spacing w:beforeLines="0" w:afterLines="0" w:line="259" w:lineRule="auto"/>
      <w:jc w:val="left"/>
      <w:outlineLvl w:val="9"/>
    </w:pPr>
    <w:rPr>
      <w:rFonts w:ascii="Calibri Light" w:hAnsi="Calibri Light" w:eastAsia="宋体"/>
      <w:color w:val="2E74B5"/>
      <w:kern w:val="0"/>
      <w:sz w:val="32"/>
      <w:szCs w:val="32"/>
    </w:rPr>
  </w:style>
  <w:style w:type="paragraph" w:customStyle="1" w:styleId="50">
    <w:name w:val="Other|1"/>
    <w:basedOn w:val="1"/>
    <w:qFormat/>
    <w:uiPriority w:val="0"/>
    <w:pPr>
      <w:spacing w:after="90" w:line="449" w:lineRule="auto"/>
      <w:ind w:firstLine="400"/>
    </w:pPr>
    <w:rPr>
      <w:rFonts w:ascii="宋体" w:hAnsi="宋体" w:cs="宋体"/>
      <w:sz w:val="28"/>
      <w:szCs w:val="28"/>
      <w:lang w:val="zh-TW" w:eastAsia="zh-TW" w:bidi="zh-TW"/>
    </w:rPr>
  </w:style>
  <w:style w:type="paragraph" w:customStyle="1" w:styleId="51">
    <w:name w:val="Heading1"/>
    <w:basedOn w:val="1"/>
    <w:next w:val="1"/>
    <w:qFormat/>
    <w:uiPriority w:val="0"/>
    <w:pPr>
      <w:keepNext/>
      <w:tabs>
        <w:tab w:val="left" w:pos="3360"/>
      </w:tabs>
      <w:snapToGrid w:val="0"/>
      <w:spacing w:before="312" w:after="156" w:line="800" w:lineRule="atLeast"/>
      <w:jc w:val="center"/>
      <w:textAlignment w:val="baseline"/>
    </w:pPr>
    <w:rPr>
      <w:rFonts w:eastAsia="黑体"/>
      <w:sz w:val="44"/>
    </w:rPr>
  </w:style>
  <w:style w:type="paragraph" w:customStyle="1" w:styleId="52">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53">
    <w:name w:val="WPSOffice手动目录 1"/>
    <w:qFormat/>
    <w:uiPriority w:val="0"/>
    <w:rPr>
      <w:rFonts w:ascii="Times New Roman" w:hAnsi="Times New Roman" w:eastAsia="宋体" w:cs="Times New Roman"/>
      <w:lang w:val="en-US" w:eastAsia="zh-CN" w:bidi="ar-SA"/>
    </w:rPr>
  </w:style>
  <w:style w:type="paragraph" w:customStyle="1" w:styleId="54">
    <w:name w:val="图例"/>
    <w:basedOn w:val="1"/>
    <w:qFormat/>
    <w:uiPriority w:val="0"/>
    <w:pPr>
      <w:spacing w:line="360" w:lineRule="auto"/>
      <w:jc w:val="center"/>
    </w:pPr>
    <w:rPr>
      <w:rFonts w:eastAsia="仿宋_GB2312"/>
      <w:b/>
    </w:rPr>
  </w:style>
  <w:style w:type="paragraph" w:customStyle="1" w:styleId="55">
    <w:name w:val="TOC1"/>
    <w:basedOn w:val="1"/>
    <w:next w:val="1"/>
    <w:qFormat/>
    <w:uiPriority w:val="0"/>
    <w:pPr>
      <w:jc w:val="left"/>
      <w:textAlignment w:val="baseline"/>
    </w:pPr>
    <w:rPr>
      <w:b/>
      <w:bCs/>
      <w:caps/>
      <w:sz w:val="20"/>
    </w:rPr>
  </w:style>
  <w:style w:type="paragraph" w:customStyle="1" w:styleId="56">
    <w:name w:val="List Paragraph1"/>
    <w:basedOn w:val="1"/>
    <w:qFormat/>
    <w:uiPriority w:val="0"/>
    <w:pPr>
      <w:ind w:firstLine="420" w:firstLineChars="200"/>
    </w:pPr>
    <w:rPr>
      <w:rFonts w:ascii="Calibri" w:hAnsi="Calibri"/>
      <w:sz w:val="21"/>
    </w:rPr>
  </w:style>
  <w:style w:type="paragraph" w:customStyle="1" w:styleId="57">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58">
    <w:name w:val="Table Paragraph"/>
    <w:basedOn w:val="1"/>
    <w:qFormat/>
    <w:uiPriority w:val="1"/>
    <w:rPr>
      <w:rFonts w:ascii="仿宋" w:hAnsi="仿宋" w:eastAsia="仿宋" w:cs="仿宋"/>
      <w:lang w:val="zh-CN" w:bidi="zh-CN"/>
    </w:rPr>
  </w:style>
  <w:style w:type="character" w:customStyle="1" w:styleId="59">
    <w:name w:val="15"/>
    <w:basedOn w:val="26"/>
    <w:qFormat/>
    <w:uiPriority w:val="0"/>
    <w:rPr>
      <w:rFonts w:hint="default" w:ascii="Times New Roman" w:hAnsi="Times New Roman" w:cs="Times New Roman"/>
    </w:rPr>
  </w:style>
  <w:style w:type="character" w:customStyle="1" w:styleId="60">
    <w:name w:val="10"/>
    <w:basedOn w:val="26"/>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38</Pages>
  <Words>19497</Words>
  <Characters>20062</Characters>
  <Lines>1</Lines>
  <Paragraphs>1</Paragraphs>
  <TotalTime>70</TotalTime>
  <ScaleCrop>false</ScaleCrop>
  <LinksUpToDate>false</LinksUpToDate>
  <CharactersWithSpaces>20966</CharactersWithSpaces>
  <Application>WPS Office_11.8.6.8811_F1E327BC-269C-435d-A152-05C5408002CA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2022-07-06T07:39:00Z</dcterms:created>
  <dc:creator>Administrator</dc:creator>
  <cp:lastModifiedBy>吴衡</cp:lastModifiedBy>
  <cp:lastPrinted>2023-12-14T09:11:00Z</cp:lastPrinted>
  <dcterms:modified xsi:type="dcterms:W3CDTF">2026-09-30T00:35:19Z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2052-11.8.6.8811</vt:lpwstr>
  </property>
  <property fmtid="{D5CDD505-2E9C-101B-9397-08002B2CF9AE}" pid="3" name="ICV">
    <vt:lpwstr>EC351B97C28C42E4B585594820941D5A_13</vt:lpwstr>
  </property>
  <property fmtid="{D5CDD505-2E9C-101B-9397-08002B2CF9AE}" pid="4" name="KSOTemplateDocerSaveRecord">
    <vt:lpwstr>eyJoZGlkIjoiZTdiZTQxMmRlODljZjM5Zjc1M2JjMGJmMjNmZWMyODgiLCJ1c2VySWQiOiIxMjQ2MzM3Mzg4In0=</vt:lpwstr>
  </property>
</Properties>
</file>