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网络安全等级保护测评服务</w:t>
      </w:r>
      <w:bookmarkStart w:id="23" w:name="_GoBack"/>
      <w:bookmarkEnd w:id="23"/>
    </w:p>
    <w:p>
      <w:pPr>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一、项目内容</w:t>
      </w:r>
    </w:p>
    <w:tbl>
      <w:tblPr>
        <w:tblStyle w:val="13"/>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6"/>
        <w:gridCol w:w="982"/>
        <w:gridCol w:w="941"/>
        <w:gridCol w:w="3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321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系统名称</w:t>
            </w:r>
          </w:p>
        </w:tc>
        <w:tc>
          <w:tcPr>
            <w:tcW w:w="982" w:type="dxa"/>
            <w:vAlign w:val="center"/>
          </w:tcPr>
          <w:p>
            <w:pPr>
              <w:rPr>
                <w:rFonts w:hint="eastAsia" w:ascii="宋体" w:hAnsi="宋体" w:eastAsia="宋体" w:cs="宋体"/>
                <w:sz w:val="24"/>
                <w:szCs w:val="24"/>
              </w:rPr>
            </w:pPr>
            <w:r>
              <w:rPr>
                <w:rFonts w:hint="eastAsia" w:ascii="宋体" w:hAnsi="宋体" w:eastAsia="宋体" w:cs="宋体"/>
                <w:sz w:val="24"/>
                <w:szCs w:val="24"/>
              </w:rPr>
              <w:t>级别</w:t>
            </w:r>
          </w:p>
        </w:tc>
        <w:tc>
          <w:tcPr>
            <w:tcW w:w="941" w:type="dxa"/>
            <w:vAlign w:val="center"/>
          </w:tcPr>
          <w:p>
            <w:pPr>
              <w:rPr>
                <w:rFonts w:hint="eastAsia" w:ascii="宋体" w:hAnsi="宋体" w:eastAsia="宋体" w:cs="宋体"/>
                <w:sz w:val="24"/>
                <w:szCs w:val="24"/>
              </w:rPr>
            </w:pPr>
            <w:r>
              <w:rPr>
                <w:rFonts w:hint="eastAsia" w:ascii="宋体" w:hAnsi="宋体" w:eastAsia="宋体" w:cs="宋体"/>
                <w:sz w:val="24"/>
                <w:szCs w:val="24"/>
              </w:rPr>
              <w:t>数量</w:t>
            </w:r>
          </w:p>
        </w:tc>
        <w:tc>
          <w:tcPr>
            <w:tcW w:w="3939"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服务描述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3216" w:type="dxa"/>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临床检验管理系统</w:t>
            </w:r>
          </w:p>
        </w:tc>
        <w:tc>
          <w:tcPr>
            <w:tcW w:w="982" w:type="dxa"/>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二级</w:t>
            </w:r>
          </w:p>
        </w:tc>
        <w:tc>
          <w:tcPr>
            <w:tcW w:w="941"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939" w:type="dxa"/>
            <w:vMerge w:val="restart"/>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四个系统合并成一个系统后进行等保测评。</w:t>
            </w:r>
          </w:p>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3216" w:type="dxa"/>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医学影像系统</w:t>
            </w:r>
          </w:p>
        </w:tc>
        <w:tc>
          <w:tcPr>
            <w:tcW w:w="982" w:type="dxa"/>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二级</w:t>
            </w:r>
          </w:p>
        </w:tc>
        <w:tc>
          <w:tcPr>
            <w:tcW w:w="941"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939" w:type="dxa"/>
            <w:vMerge w:val="continue"/>
            <w:vAlign w:val="center"/>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3216" w:type="dxa"/>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医院信息系统</w:t>
            </w:r>
          </w:p>
        </w:tc>
        <w:tc>
          <w:tcPr>
            <w:tcW w:w="982" w:type="dxa"/>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级</w:t>
            </w:r>
          </w:p>
        </w:tc>
        <w:tc>
          <w:tcPr>
            <w:tcW w:w="941"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1</w:t>
            </w:r>
          </w:p>
        </w:tc>
        <w:tc>
          <w:tcPr>
            <w:tcW w:w="3939" w:type="dxa"/>
            <w:vMerge w:val="continue"/>
            <w:vAlign w:val="center"/>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216" w:type="dxa"/>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互联网医院信息系统</w:t>
            </w:r>
          </w:p>
        </w:tc>
        <w:tc>
          <w:tcPr>
            <w:tcW w:w="982" w:type="dxa"/>
            <w:vAlign w:val="center"/>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三级</w:t>
            </w:r>
          </w:p>
        </w:tc>
        <w:tc>
          <w:tcPr>
            <w:tcW w:w="941" w:type="dxa"/>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939" w:type="dxa"/>
            <w:vMerge w:val="continue"/>
            <w:vAlign w:val="center"/>
          </w:tcPr>
          <w:p>
            <w:pPr>
              <w:rPr>
                <w:rFonts w:hint="eastAsia" w:ascii="宋体" w:hAnsi="宋体" w:eastAsia="宋体" w:cs="宋体"/>
                <w:sz w:val="24"/>
                <w:szCs w:val="24"/>
              </w:rPr>
            </w:pPr>
          </w:p>
        </w:tc>
      </w:tr>
    </w:tbl>
    <w:p>
      <w:pPr>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rPr>
      </w:pPr>
      <w:bookmarkStart w:id="0" w:name="_Hlk103199915"/>
      <w:bookmarkStart w:id="1" w:name="_Hlk103200435"/>
      <w:bookmarkStart w:id="2" w:name="_Hlk103199963"/>
      <w:r>
        <w:rPr>
          <w:rFonts w:hint="eastAsia" w:ascii="宋体" w:hAnsi="宋体" w:eastAsia="宋体" w:cs="宋体"/>
          <w:b/>
          <w:bCs/>
          <w:lang w:val="en-US" w:eastAsia="zh-CN"/>
        </w:rPr>
        <w:t>二</w:t>
      </w:r>
      <w:r>
        <w:rPr>
          <w:rFonts w:hint="eastAsia" w:ascii="宋体" w:hAnsi="宋体" w:eastAsia="宋体" w:cs="宋体"/>
          <w:b/>
          <w:bCs/>
        </w:rPr>
        <w:t>、资格条件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 w:name="_Toc7640"/>
      <w:bookmarkStart w:id="4" w:name="_Toc26782"/>
      <w:r>
        <w:rPr>
          <w:rFonts w:hint="eastAsia" w:ascii="宋体" w:hAnsi="宋体" w:eastAsia="宋体" w:cs="宋体"/>
          <w:sz w:val="24"/>
          <w:szCs w:val="24"/>
        </w:rPr>
        <w:t>（一）一般资格条件</w:t>
      </w:r>
      <w:bookmarkEnd w:id="3"/>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1.具有独立承担民事责任的能力；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6.法律、行政法规规定的其他条件。</w:t>
      </w:r>
      <w:bookmarkStart w:id="5" w:name="_Toc32624"/>
    </w:p>
    <w:p>
      <w:pPr>
        <w:jc w:val="center"/>
        <w:rPr>
          <w:rFonts w:hint="eastAsia" w:ascii="宋体" w:hAnsi="宋体" w:eastAsia="宋体" w:cs="宋体"/>
          <w:sz w:val="24"/>
          <w:szCs w:val="24"/>
          <w:lang w:val="en-US" w:eastAsia="zh-CN"/>
        </w:rPr>
      </w:pPr>
      <w:r>
        <w:rPr>
          <w:rFonts w:hint="eastAsia" w:ascii="宋体" w:hAnsi="宋体" w:eastAsia="宋体" w:cs="宋体"/>
          <w:sz w:val="24"/>
          <w:szCs w:val="24"/>
        </w:rPr>
        <w:t>以上2-6条投标人提供“基本资格条件承诺函”替代（详见</w:t>
      </w:r>
      <w:r>
        <w:rPr>
          <w:rFonts w:hint="eastAsia" w:ascii="宋体" w:hAnsi="宋体" w:eastAsia="宋体" w:cs="宋体"/>
          <w:sz w:val="24"/>
          <w:szCs w:val="24"/>
          <w:lang w:val="en-US" w:eastAsia="zh-CN"/>
        </w:rPr>
        <w:t>等保测评服务需求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结尾</w:t>
      </w:r>
      <w:r>
        <w:rPr>
          <w:rFonts w:hint="eastAsia" w:ascii="宋体" w:hAnsi="宋体" w:eastAsia="宋体" w:cs="宋体"/>
          <w:sz w:val="24"/>
          <w:szCs w:val="24"/>
        </w:rPr>
        <w:t>格式）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w:t>
      </w:r>
      <w:r>
        <w:rPr>
          <w:rFonts w:hint="eastAsia" w:ascii="宋体" w:hAnsi="宋体" w:eastAsia="宋体" w:cs="宋体"/>
          <w:sz w:val="24"/>
          <w:szCs w:val="24"/>
        </w:rPr>
        <w:t>特定资格条件</w:t>
      </w:r>
      <w:bookmarkEnd w:id="5"/>
      <w:bookmarkStart w:id="6" w:name="_Toc8512"/>
      <w:bookmarkStart w:id="7" w:name="_Toc22048"/>
      <w:bookmarkStart w:id="8" w:name="_Toc11356"/>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1.须提供有效的公安部第三研究所颁发的《网络安全等级测评与检测评估机构》服务认证证书或《网络安全服务认证证书等级保护测评服务认证》；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2.测评团队成员需持有有效的测评师证书，符合《网络安全等级保护测评机构管理办法》第十五条中规定，对第三级以上网络提供等级测评服务的，测评师人数不得少于 4 名，其中高级测评师、中级测评师应各不少于 1 名；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3.技术符合《信息系统安全等级保护测评要求》；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lang w:val="en-US" w:eastAsia="zh-CN"/>
        </w:rPr>
        <w:t>三、</w:t>
      </w:r>
      <w:r>
        <w:rPr>
          <w:rFonts w:hint="eastAsia" w:ascii="宋体" w:hAnsi="宋体" w:eastAsia="宋体" w:cs="宋体"/>
          <w:b/>
          <w:bCs/>
          <w:sz w:val="28"/>
          <w:szCs w:val="28"/>
        </w:rPr>
        <w:t>项目技术</w:t>
      </w:r>
      <w:bookmarkEnd w:id="6"/>
      <w:bookmarkEnd w:id="7"/>
      <w:bookmarkEnd w:id="8"/>
      <w:r>
        <w:rPr>
          <w:rFonts w:hint="eastAsia" w:ascii="宋体" w:hAnsi="宋体" w:eastAsia="宋体" w:cs="宋体"/>
          <w:b/>
          <w:bCs/>
          <w:sz w:val="28"/>
          <w:szCs w:val="28"/>
        </w:rPr>
        <w:t>（质量）服务及需求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1、主要服务内容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9" w:name="_Toc30819"/>
      <w:r>
        <w:rPr>
          <w:rFonts w:hint="eastAsia" w:ascii="宋体" w:hAnsi="宋体" w:eastAsia="宋体" w:cs="宋体"/>
          <w:sz w:val="24"/>
          <w:szCs w:val="24"/>
        </w:rPr>
        <w:t>等级保护测评工程师通过远程、现场等方式，按照《信息安全等级保护管理办法》、《信息安全技术网络安全等级保护基本要求》的规定，对数字化医院管理系统进行网络安全等级（三级）保护测评，实施要求为网络安全等级保护测评2.0标准。协助</w:t>
      </w:r>
      <w:r>
        <w:rPr>
          <w:rFonts w:hint="eastAsia" w:ascii="宋体" w:hAnsi="宋体" w:eastAsia="宋体" w:cs="宋体"/>
          <w:sz w:val="24"/>
          <w:szCs w:val="24"/>
          <w:lang w:eastAsia="zh-CN"/>
        </w:rPr>
        <w:t>采购人</w:t>
      </w:r>
      <w:r>
        <w:rPr>
          <w:rFonts w:hint="eastAsia" w:ascii="宋体" w:hAnsi="宋体" w:eastAsia="宋体" w:cs="宋体"/>
          <w:sz w:val="24"/>
          <w:szCs w:val="24"/>
        </w:rPr>
        <w:t>完成定级备案及专家评审会，通过测评，准确反映该信息系统的安全防护能力现状，对发现的问题进行深入分析，提出整改建议，协助</w:t>
      </w:r>
      <w:r>
        <w:rPr>
          <w:rFonts w:hint="eastAsia" w:ascii="宋体" w:hAnsi="宋体" w:eastAsia="宋体" w:cs="宋体"/>
          <w:sz w:val="24"/>
          <w:szCs w:val="24"/>
          <w:lang w:eastAsia="zh-CN"/>
        </w:rPr>
        <w:t>采购人</w:t>
      </w:r>
      <w:r>
        <w:rPr>
          <w:rFonts w:hint="eastAsia" w:ascii="宋体" w:hAnsi="宋体" w:eastAsia="宋体" w:cs="宋体"/>
          <w:sz w:val="24"/>
          <w:szCs w:val="24"/>
        </w:rPr>
        <w:t>完善系统安全保护措施，提升安全保护能力，最终达到并符合国家标准《信息安全技术 网络安全等级保护基本要求(GB/T 22239-2019)》相关安全等级保护要求，并出具网络安全等级保护测评（三级）报告。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2、项目服务及质量要求</w:t>
      </w:r>
      <w:bookmarkEnd w:id="9"/>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bookmarkStart w:id="10" w:name="_Toc14241"/>
      <w:bookmarkStart w:id="11" w:name="_Toc9360"/>
      <w:r>
        <w:rPr>
          <w:rFonts w:hint="eastAsia" w:ascii="宋体" w:hAnsi="宋体" w:eastAsia="宋体" w:cs="宋体"/>
          <w:sz w:val="24"/>
          <w:szCs w:val="24"/>
          <w:lang w:val="en-US" w:eastAsia="zh-CN"/>
        </w:rPr>
        <w:t>（一）服务</w:t>
      </w:r>
      <w:bookmarkEnd w:id="10"/>
      <w:bookmarkStart w:id="12" w:name="_Toc15046"/>
      <w:bookmarkStart w:id="13" w:name="_Toc17640"/>
      <w:r>
        <w:rPr>
          <w:rFonts w:hint="eastAsia" w:ascii="宋体" w:hAnsi="宋体" w:eastAsia="宋体" w:cs="宋体"/>
          <w:sz w:val="24"/>
          <w:szCs w:val="24"/>
          <w:lang w:val="en-US" w:eastAsia="zh-CN"/>
        </w:rPr>
        <w:t xml:space="preserve">目的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为了提升系统的安全保护能力，加强信息安全管理，根据《网络安全法》、《信息安全等级保护管理办法》、GB/T 22239-2019《网络安全等级保护基本要求》，需要对采购人的数字化医院管理系统进行网络安全等级保护2.0测评，测评医疗HIS系统，准确反映待测信息系统的安全防护能力现状，对发现的问题进行深入分析，提出安全整改建议，最终出具信息系统等级保护测评报告。</w:t>
      </w:r>
    </w:p>
    <w:bookmarkEnd w:id="12"/>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供应商协助采购人做好系统安全保障服务，同时提供整改支持服务、信息安全培训、完善网络安全制度汇编、信息安全技术类咨询、商用密码咨询服务等。</w:t>
      </w:r>
    </w:p>
    <w:bookmarkEnd w:id="11"/>
    <w:bookmarkEnd w:id="13"/>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4" w:name="_Toc10562"/>
      <w:r>
        <w:rPr>
          <w:rFonts w:hint="eastAsia" w:ascii="宋体" w:hAnsi="宋体" w:eastAsia="宋体" w:cs="宋体"/>
          <w:sz w:val="24"/>
          <w:szCs w:val="24"/>
        </w:rPr>
        <w:t>（二）项目测评依据</w:t>
      </w:r>
    </w:p>
    <w:bookmarkEnd w:id="14"/>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5" w:name="_Toc31657"/>
      <w:r>
        <w:rPr>
          <w:rFonts w:hint="eastAsia" w:ascii="宋体" w:hAnsi="宋体" w:eastAsia="宋体" w:cs="宋体"/>
          <w:sz w:val="24"/>
          <w:szCs w:val="24"/>
        </w:rPr>
        <w:t>※项目依据国家《中华人民共和国计算机信息系统安全保护条例》（国务院147号令）、《信息安全等级保护管理办法》（公通字[2007]43号）、《中华人民共和国国家标准 GB/T 22239-2019网络安全等级保护基本要求》、《中华人民共和国国家标准 GB/T 28449-2018 信息系统安全等级保护测评过程指南》、《中华人民共和国国家标准 GB/T 20984-2007信息安全风险评估规范》等法规要求进行信息系统安全等级测评。</w:t>
      </w:r>
    </w:p>
    <w:bookmarkEnd w:id="15"/>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（三）项目测评内容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本次需要测评的系统包括被测系统运行密不可分的物理环境、网络区域环境、安全计算环境、安全管理中心及安全管理制度等。</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1.工具扫描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使用专业的安全分析工具（至少包含专业的主机网络安全分析、应用系统安全析工具）对待测系统进行安全分析。在与我方深入沟通的基础上，对系统进行渗透，对过程进行记录并最终形成工具扫描、渗透报告。</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2.等级测评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项目信息安全等级保护测评目的和测评内容，必须与信息安全等级保护要求的基本安全控制要求相一致。本项目测评人员应依据测评目的和测评内容，选取、实施特定测评操作的方式方法。测评主要包括以下几个方面的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（1）技术测评：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①安全物理环境测评（物理位置的选择、物理访问控制、防盗窃和防破坏、防雷击、防火、防水和防潮、防静电、温湿度控制、电力供应、电磁防护）；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②安全通信网络测评（网络架构、通信传输、可信验证）；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③安全区域边界测评（边界防护、访问控制、入侵防范、恶意代码防范、安全审计、可信验证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集中管控</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④安全计算环境（身份鉴别、访问控制、安全审计、入侵防范、恶意代码防范、</w:t>
      </w:r>
      <w:r>
        <w:rPr>
          <w:rFonts w:hint="eastAsia" w:ascii="宋体" w:hAnsi="宋体" w:eastAsia="宋体" w:cs="宋体"/>
          <w:sz w:val="24"/>
          <w:szCs w:val="24"/>
          <w:lang w:val="en-US" w:eastAsia="zh-CN"/>
        </w:rPr>
        <w:t>资源控制</w:t>
      </w:r>
      <w:r>
        <w:rPr>
          <w:rFonts w:hint="eastAsia" w:ascii="宋体" w:hAnsi="宋体" w:eastAsia="宋体" w:cs="宋体"/>
          <w:sz w:val="24"/>
          <w:szCs w:val="24"/>
        </w:rPr>
        <w:t>、</w:t>
      </w:r>
      <w:r>
        <w:rPr>
          <w:rFonts w:hint="eastAsia" w:ascii="宋体" w:hAnsi="宋体" w:eastAsia="宋体" w:cs="宋体"/>
          <w:sz w:val="24"/>
          <w:szCs w:val="24"/>
          <w:lang w:val="en-US" w:eastAsia="zh-CN"/>
        </w:rPr>
        <w:t>软件容错、</w:t>
      </w:r>
      <w:r>
        <w:rPr>
          <w:rFonts w:hint="eastAsia" w:ascii="宋体" w:hAnsi="宋体" w:eastAsia="宋体" w:cs="宋体"/>
          <w:sz w:val="24"/>
          <w:szCs w:val="24"/>
        </w:rPr>
        <w:t>数据完整性、数据保密性、数据备份恢复、剩余信息保护、个人信息保护）；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⑤安全管理中心测评（系统管理、审计管理、安全管理）。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（2）管理测评：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①安全管理制度测评（管理制度、制定和发布、评审和修订）；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②安全管理人员测评（人员录用、人员离岗、人员考核、安全意识教育和培训、外部人员访问管理）；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③安全管理机构测评（岗位设置、人员配备、授权和审批、沟通和合作、审核和检查）；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④安全建设管理测评（系统定级、安全方案设计、产品采购和使用、自行软件开发、外包软件开发、工程实施、测试验收、系统交付、</w:t>
      </w:r>
      <w:r>
        <w:rPr>
          <w:rFonts w:hint="eastAsia" w:ascii="宋体" w:hAnsi="宋体" w:eastAsia="宋体" w:cs="宋体"/>
          <w:sz w:val="24"/>
          <w:szCs w:val="24"/>
          <w:lang w:val="en-US" w:eastAsia="zh-CN"/>
        </w:rPr>
        <w:t>等级测评</w:t>
      </w:r>
      <w:r>
        <w:rPr>
          <w:rFonts w:hint="eastAsia" w:ascii="宋体" w:hAnsi="宋体" w:eastAsia="宋体" w:cs="宋体"/>
          <w:sz w:val="24"/>
          <w:szCs w:val="24"/>
        </w:rPr>
        <w:t>、</w:t>
      </w:r>
      <w:r>
        <w:rPr>
          <w:rFonts w:hint="eastAsia" w:ascii="宋体" w:hAnsi="宋体" w:eastAsia="宋体" w:cs="宋体"/>
          <w:sz w:val="24"/>
          <w:szCs w:val="24"/>
          <w:lang w:val="en-US" w:eastAsia="zh-CN"/>
        </w:rPr>
        <w:t>服务供应室管理</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⑤安全运维管理测评（环境管理、资产管理、介质管理、设备</w:t>
      </w:r>
      <w:r>
        <w:rPr>
          <w:rFonts w:hint="eastAsia" w:ascii="宋体" w:hAnsi="宋体" w:eastAsia="宋体" w:cs="宋体"/>
          <w:sz w:val="24"/>
          <w:szCs w:val="24"/>
          <w:lang w:val="en-US" w:eastAsia="zh-CN"/>
        </w:rPr>
        <w:t>维护</w:t>
      </w:r>
      <w:r>
        <w:rPr>
          <w:rFonts w:hint="eastAsia" w:ascii="宋体" w:hAnsi="宋体" w:eastAsia="宋体" w:cs="宋体"/>
          <w:sz w:val="24"/>
          <w:szCs w:val="24"/>
        </w:rPr>
        <w:t>管理、</w:t>
      </w:r>
      <w:r>
        <w:rPr>
          <w:rFonts w:hint="eastAsia" w:ascii="宋体" w:hAnsi="宋体" w:eastAsia="宋体" w:cs="宋体"/>
          <w:sz w:val="24"/>
          <w:szCs w:val="24"/>
          <w:lang w:val="en-US" w:eastAsia="zh-CN"/>
        </w:rPr>
        <w:t>漏洞和风险管理、</w:t>
      </w:r>
      <w:r>
        <w:rPr>
          <w:rFonts w:hint="eastAsia" w:ascii="宋体" w:hAnsi="宋体" w:eastAsia="宋体" w:cs="宋体"/>
          <w:sz w:val="24"/>
          <w:szCs w:val="24"/>
        </w:rPr>
        <w:t>网络</w:t>
      </w:r>
      <w:r>
        <w:rPr>
          <w:rFonts w:hint="eastAsia" w:ascii="宋体" w:hAnsi="宋体" w:eastAsia="宋体" w:cs="宋体"/>
          <w:sz w:val="24"/>
          <w:szCs w:val="24"/>
          <w:lang w:val="en-US" w:eastAsia="zh-CN"/>
        </w:rPr>
        <w:t>和系统</w:t>
      </w:r>
      <w:r>
        <w:rPr>
          <w:rFonts w:hint="eastAsia" w:ascii="宋体" w:hAnsi="宋体" w:eastAsia="宋体" w:cs="宋体"/>
          <w:sz w:val="24"/>
          <w:szCs w:val="24"/>
        </w:rPr>
        <w:t>安全管理、恶意代码防范管理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配置管理</w:t>
      </w:r>
      <w:r>
        <w:rPr>
          <w:rFonts w:hint="eastAsia" w:ascii="宋体" w:hAnsi="宋体" w:eastAsia="宋体" w:cs="宋体"/>
          <w:sz w:val="24"/>
          <w:szCs w:val="24"/>
        </w:rPr>
        <w:t>、密码管理、变更管理、备份与恢复管理、安全事件处置、应急预案管理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外包运维管理</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eastAsia="宋体" w:cs="宋体"/>
          <w:sz w:val="24"/>
          <w:szCs w:val="24"/>
        </w:rPr>
        <w:t>（3）云计算扩展测评：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①安全物理环境测评（基础设施位置）；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②安全通信网络测评（网络架构）；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③安全区域边界测评（访问控制、入侵防范、安全审计）；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④安全计算环境测评（身份鉴别、访问控制、入侵防范、镜像和快照保护、数据完整性和保密性、数据备份恢复、剩余信息保护）；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⑤安全管理中心测评（集中管控）；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⑥安全建设管理测评（云服务商选择、供应链管理）；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⑦安全运维管理测评（云计算环境管理）。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（4）移动互联扩展测评：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①安全物理环境测评（无线接入点的物理位置）；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②安全区域边界测评（边界防护、访问控制、入侵防范）；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③安全计算环境测评（移动终端管控、移动应用管控）；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④安全建设管理测评（移动应用软件采购、移动应用软件开发）；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⑤安全运维管理测评（配置管理）。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（5）物联网扩展测评：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①安全物理环境测评（感知节点设备物理防护）；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②安全区域边界测评（接入控制、入侵防范）；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③安全计算环境测评（感知节点设备安全、网关节点设备安全、抗数据重放、数据融合处理）；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④安全运维管理测评（感知节点管理）。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（6）工业控制系统扩展测评：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①安全物理环境测评（室外控制设备物理防护）；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②安全通信网络（网络架构、通信传输）</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③安全区域边界测评（访问控制、拨号使用控制、无线使用控制）；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④安全计算环境测评（控制设备安全）；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⑤安全建设管理测评（产品采购和使用、外包软件开发）。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项目成果：本项目需要形成针对被测评系统的网络安全等级保护测评报告等。主要包括系统测评记录、工具扫描及渗透测试报告、系统风险分析，系统等级测评报告等，并根据测评结果和风险分析结果，提供详细的整改方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3.项目质量保证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测评中应严格按照《信息安全技术网络安全等级保护基本要求(GB/T 22239-2019)》标准的要求实施，加强质量监督和复查，保证测评工作质量。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4.项目成果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项目需要形成针对待测评系统的网络安全等级保护测评报告，且报告须盖有等保测评专用章和检验能力含网络安全等级保护测评的CNAS章。主要包括系统测评记录、工具扫描及渗透测试报告、系统风险分析，系统等级测评报告等，并根据测评结果和风险分析结果，提供详细的整改方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四、项目商务要求</w:t>
      </w:r>
      <w:bookmarkEnd w:id="4"/>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（一）服务时间、地点、验收方式及报价方式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bookmarkStart w:id="16" w:name="_Toc18277"/>
      <w:r>
        <w:rPr>
          <w:rFonts w:hint="eastAsia" w:ascii="宋体" w:hAnsi="宋体" w:eastAsia="宋体" w:cs="宋体"/>
          <w:sz w:val="24"/>
          <w:szCs w:val="24"/>
        </w:rPr>
        <w:t>1.</w:t>
      </w:r>
      <w:bookmarkEnd w:id="16"/>
      <w:r>
        <w:rPr>
          <w:rFonts w:hint="eastAsia" w:ascii="宋体" w:hAnsi="宋体" w:eastAsia="宋体" w:cs="宋体"/>
          <w:sz w:val="24"/>
          <w:szCs w:val="24"/>
        </w:rPr>
        <w:t>服务时间</w:t>
      </w:r>
      <w:bookmarkStart w:id="17" w:name="_Toc3816"/>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自合同签订之日起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20个工作日完成。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2.服务地点</w:t>
      </w:r>
      <w:bookmarkEnd w:id="17"/>
      <w:bookmarkStart w:id="18" w:name="_Toc24209"/>
      <w:bookmarkStart w:id="19" w:name="_Toc506192852"/>
      <w:bookmarkStart w:id="20" w:name="_Toc30218"/>
      <w:r>
        <w:rPr>
          <w:rFonts w:hint="eastAsia" w:ascii="宋体" w:hAnsi="宋体" w:eastAsia="宋体" w:cs="宋体"/>
          <w:sz w:val="24"/>
          <w:szCs w:val="24"/>
          <w:lang w:val="en-US" w:eastAsia="zh-CN"/>
        </w:rPr>
        <w:t xml:space="preserve">  重庆市巴南区第二人民医院</w:t>
      </w:r>
      <w:r>
        <w:rPr>
          <w:rFonts w:hint="eastAsia" w:ascii="宋体" w:hAnsi="宋体" w:eastAsia="宋体" w:cs="宋体"/>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sz w:val="24"/>
          <w:szCs w:val="24"/>
        </w:rPr>
      </w:pPr>
      <w:bookmarkStart w:id="21" w:name="_Toc30224"/>
      <w:r>
        <w:rPr>
          <w:rFonts w:hint="eastAsia" w:ascii="宋体" w:hAnsi="宋体" w:cs="宋体"/>
          <w:b w:val="0"/>
          <w:bCs w:val="0"/>
          <w:color w:val="000000" w:themeColor="text1"/>
          <w:sz w:val="24"/>
          <w:szCs w:val="24"/>
          <w:lang w:val="en-US" w:eastAsia="zh-CN"/>
          <w14:textFill>
            <w14:solidFill>
              <w14:schemeClr w14:val="tx1"/>
            </w14:solidFill>
          </w14:textFill>
        </w:rPr>
        <w:t>3.</w:t>
      </w:r>
      <w:r>
        <w:rPr>
          <w:rFonts w:hint="eastAsia" w:ascii="宋体" w:hAnsi="宋体" w:eastAsia="宋体" w:cs="宋体"/>
          <w:b w:val="0"/>
          <w:bCs w:val="0"/>
          <w:color w:val="000000" w:themeColor="text1"/>
          <w:sz w:val="24"/>
          <w:szCs w:val="24"/>
          <w14:textFill>
            <w14:solidFill>
              <w14:schemeClr w14:val="tx1"/>
            </w14:solidFill>
          </w14:textFill>
        </w:rPr>
        <w:t>验收方式</w:t>
      </w:r>
      <w:bookmarkEnd w:id="21"/>
      <w:bookmarkStart w:id="22" w:name="_Toc32272"/>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sz w:val="24"/>
          <w:szCs w:val="24"/>
        </w:rPr>
        <w:t>采购人按服务要求自行验收。</w:t>
      </w:r>
      <w:bookmarkEnd w:id="22"/>
    </w:p>
    <w:bookmarkEnd w:id="0"/>
    <w:bookmarkEnd w:id="1"/>
    <w:bookmarkEnd w:id="2"/>
    <w:bookmarkEnd w:id="18"/>
    <w:bookmarkEnd w:id="19"/>
    <w:bookmarkEnd w:id="20"/>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val="0"/>
          <w:bCs w:val="0"/>
          <w:kern w:val="0"/>
          <w:sz w:val="24"/>
          <w:szCs w:val="24"/>
        </w:rPr>
      </w:pPr>
      <w:r>
        <w:rPr>
          <w:rFonts w:hint="eastAsia" w:ascii="宋体" w:hAnsi="宋体" w:cs="宋体"/>
          <w:b w:val="0"/>
          <w:bCs w:val="0"/>
          <w:color w:val="000000" w:themeColor="text1"/>
          <w:sz w:val="24"/>
          <w:szCs w:val="24"/>
          <w:lang w:val="en-US" w:eastAsia="zh-CN"/>
          <w14:textFill>
            <w14:solidFill>
              <w14:schemeClr w14:val="tx1"/>
            </w14:solidFill>
          </w14:textFill>
        </w:rPr>
        <w:t>4</w:t>
      </w:r>
      <w:r>
        <w:rPr>
          <w:rFonts w:hint="eastAsia" w:ascii="宋体" w:hAnsi="宋体" w:eastAsia="宋体" w:cs="宋体"/>
          <w:b w:val="0"/>
          <w:bCs w:val="0"/>
          <w:color w:val="000000" w:themeColor="text1"/>
          <w:sz w:val="24"/>
          <w:szCs w:val="24"/>
          <w14:textFill>
            <w14:solidFill>
              <w14:schemeClr w14:val="tx1"/>
            </w14:solidFill>
          </w14:textFill>
        </w:rPr>
        <w:t>.报价方式</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kern w:val="0"/>
          <w:sz w:val="24"/>
          <w:szCs w:val="24"/>
        </w:rPr>
        <w:t>本次报价</w:t>
      </w:r>
      <w:r>
        <w:rPr>
          <w:rFonts w:hint="eastAsia" w:ascii="宋体" w:hAnsi="宋体" w:eastAsia="宋体" w:cs="宋体"/>
          <w:b w:val="0"/>
          <w:bCs w:val="0"/>
          <w:kern w:val="0"/>
          <w:sz w:val="24"/>
          <w:szCs w:val="24"/>
          <w:lang w:val="en-US" w:eastAsia="zh-CN"/>
        </w:rPr>
        <w:t>通过行采家线上报价，</w:t>
      </w:r>
      <w:r>
        <w:rPr>
          <w:rFonts w:hint="eastAsia" w:ascii="宋体" w:hAnsi="宋体" w:eastAsia="宋体" w:cs="宋体"/>
          <w:b w:val="0"/>
          <w:bCs w:val="0"/>
          <w:kern w:val="0"/>
          <w:sz w:val="24"/>
          <w:szCs w:val="24"/>
        </w:rPr>
        <w:t>须为人民币报价。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p>
      <w:pPr>
        <w:spacing w:line="312" w:lineRule="auto"/>
        <w:ind w:firstLine="0" w:firstLineChars="0"/>
        <w:rPr>
          <w:rFonts w:hint="eastAsia" w:ascii="宋体" w:hAnsi="宋体" w:eastAsia="宋体" w:cs="宋体"/>
          <w:b/>
          <w:color w:val="auto"/>
          <w:highlight w:val="none"/>
        </w:rPr>
      </w:pPr>
      <w:r>
        <w:rPr>
          <w:rFonts w:hint="eastAsia" w:ascii="宋体" w:hAnsi="宋体" w:cs="宋体"/>
          <w:b/>
          <w:color w:val="auto"/>
          <w:highlight w:val="none"/>
          <w:lang w:val="en-US" w:eastAsia="zh-CN"/>
        </w:rPr>
        <w:t>五、</w:t>
      </w:r>
      <w:r>
        <w:rPr>
          <w:rFonts w:hint="eastAsia" w:ascii="宋体" w:hAnsi="宋体" w:eastAsia="宋体" w:cs="宋体"/>
          <w:b/>
          <w:color w:val="auto"/>
          <w:highlight w:val="none"/>
        </w:rPr>
        <w:t>基本资格条件承诺函</w:t>
      </w:r>
    </w:p>
    <w:p>
      <w:pPr>
        <w:tabs>
          <w:tab w:val="left" w:pos="6300"/>
        </w:tabs>
        <w:snapToGrid w:val="0"/>
        <w:spacing w:line="500" w:lineRule="exact"/>
        <w:ind w:firstLine="480"/>
        <w:rPr>
          <w:rFonts w:hint="eastAsia" w:ascii="宋体" w:hAnsi="宋体" w:eastAsia="宋体" w:cs="宋体"/>
          <w:color w:val="auto"/>
          <w:highlight w:val="none"/>
        </w:rPr>
      </w:pPr>
    </w:p>
    <w:p>
      <w:pPr>
        <w:pStyle w:val="23"/>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竞采</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pPr>
        <w:pStyle w:val="23"/>
        <w:ind w:firstLine="480"/>
        <w:rPr>
          <w:rFonts w:hint="eastAsia" w:ascii="宋体" w:hAnsi="宋体" w:eastAsia="宋体" w:cs="宋体"/>
          <w:color w:val="auto"/>
          <w:sz w:val="24"/>
          <w:szCs w:val="24"/>
          <w:highlight w:val="none"/>
        </w:rPr>
      </w:pPr>
    </w:p>
    <w:p>
      <w:pPr>
        <w:tabs>
          <w:tab w:val="left" w:pos="6300"/>
        </w:tabs>
        <w:snapToGrid w:val="0"/>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（采购人名称）：</w:t>
      </w:r>
    </w:p>
    <w:p>
      <w:pPr>
        <w:tabs>
          <w:tab w:val="left" w:pos="6300"/>
        </w:tabs>
        <w:snapToGrid w:val="0"/>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（供应商名称）郑重承诺：</w:t>
      </w:r>
    </w:p>
    <w:p>
      <w:pPr>
        <w:tabs>
          <w:tab w:val="left" w:pos="6300"/>
        </w:tabs>
        <w:snapToGrid w:val="0"/>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1.我方具有良好的商业信誉和健全的财务会计制度，具有履行合同所必需的设备和专业技术能力，具</w:t>
      </w:r>
      <w:r>
        <w:rPr>
          <w:rFonts w:hint="eastAsia" w:ascii="宋体" w:hAnsi="宋体" w:eastAsia="宋体" w:cs="宋体"/>
          <w:color w:val="auto"/>
          <w:sz w:val="24"/>
          <w:szCs w:val="24"/>
          <w:highlight w:val="none"/>
          <w:lang w:val="zh-CN"/>
        </w:rPr>
        <w:t>有依法缴纳税收和社会保障金的良好记录</w:t>
      </w:r>
      <w:r>
        <w:rPr>
          <w:rFonts w:hint="eastAsia" w:ascii="宋体" w:hAnsi="宋体" w:eastAsia="宋体" w:cs="宋体"/>
          <w:color w:val="auto"/>
          <w:sz w:val="24"/>
          <w:szCs w:val="24"/>
          <w:highlight w:val="none"/>
        </w:rPr>
        <w:t>，参加本项目采购活动前三年内无重大违法活动记录。</w:t>
      </w:r>
    </w:p>
    <w:p>
      <w:pPr>
        <w:tabs>
          <w:tab w:val="left" w:pos="6300"/>
        </w:tabs>
        <w:snapToGrid w:val="0"/>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pPr>
        <w:tabs>
          <w:tab w:val="left" w:pos="6300"/>
        </w:tabs>
        <w:snapToGrid w:val="0"/>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3.我方在采购项目评审（评标）环节结束后，随时接受采购人、采购代理机构的检查验证，配合提供相关证明材料，证明符合</w:t>
      </w:r>
      <w:r>
        <w:rPr>
          <w:rFonts w:hint="eastAsia" w:ascii="宋体" w:hAnsi="宋体" w:eastAsia="宋体" w:cs="宋体"/>
          <w:color w:val="auto"/>
          <w:sz w:val="24"/>
          <w:szCs w:val="24"/>
          <w:highlight w:val="none"/>
          <w:lang w:eastAsia="zh-CN"/>
        </w:rPr>
        <w:t>竞采</w:t>
      </w:r>
      <w:r>
        <w:rPr>
          <w:rFonts w:hint="eastAsia" w:ascii="宋体" w:hAnsi="宋体" w:eastAsia="宋体" w:cs="宋体"/>
          <w:color w:val="auto"/>
          <w:sz w:val="24"/>
          <w:szCs w:val="24"/>
          <w:highlight w:val="none"/>
        </w:rPr>
        <w:t>文件规定的供应商基本资格条件。</w:t>
      </w:r>
    </w:p>
    <w:p>
      <w:pPr>
        <w:tabs>
          <w:tab w:val="left" w:pos="6300"/>
        </w:tabs>
        <w:snapToGrid w:val="0"/>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我方对以上承诺负全部法律责任。</w:t>
      </w:r>
    </w:p>
    <w:p>
      <w:pPr>
        <w:tabs>
          <w:tab w:val="left" w:pos="6300"/>
        </w:tabs>
        <w:snapToGrid w:val="0"/>
        <w:spacing w:line="50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pPr>
        <w:tabs>
          <w:tab w:val="left" w:pos="6300"/>
        </w:tabs>
        <w:snapToGrid w:val="0"/>
        <w:spacing w:line="530" w:lineRule="exact"/>
        <w:ind w:firstLine="480"/>
        <w:rPr>
          <w:rFonts w:hint="eastAsia" w:ascii="宋体" w:hAnsi="宋体" w:eastAsia="宋体" w:cs="宋体"/>
          <w:color w:val="auto"/>
          <w:sz w:val="24"/>
          <w:szCs w:val="24"/>
          <w:highlight w:val="none"/>
        </w:rPr>
      </w:pPr>
    </w:p>
    <w:p>
      <w:pPr>
        <w:tabs>
          <w:tab w:val="left" w:pos="6300"/>
        </w:tabs>
        <w:snapToGrid w:val="0"/>
        <w:spacing w:line="500" w:lineRule="exact"/>
        <w:ind w:firstLine="480"/>
        <w:rPr>
          <w:rFonts w:hint="eastAsia" w:ascii="宋体" w:hAnsi="宋体" w:eastAsia="宋体" w:cs="宋体"/>
          <w:color w:val="auto"/>
          <w:sz w:val="24"/>
          <w:szCs w:val="24"/>
          <w:highlight w:val="none"/>
        </w:rPr>
      </w:pPr>
    </w:p>
    <w:p>
      <w:pPr>
        <w:tabs>
          <w:tab w:val="left" w:pos="6300"/>
        </w:tabs>
        <w:snapToGrid w:val="0"/>
        <w:spacing w:line="500" w:lineRule="exact"/>
        <w:ind w:firstLine="480"/>
        <w:rPr>
          <w:rFonts w:hint="eastAsia" w:ascii="宋体" w:hAnsi="宋体" w:eastAsia="宋体" w:cs="宋体"/>
          <w:color w:val="auto"/>
          <w:sz w:val="24"/>
          <w:szCs w:val="24"/>
          <w:highlight w:val="none"/>
        </w:rPr>
      </w:pPr>
    </w:p>
    <w:p>
      <w:pPr>
        <w:tabs>
          <w:tab w:val="left" w:pos="6300"/>
        </w:tabs>
        <w:snapToGrid w:val="0"/>
        <w:spacing w:line="500" w:lineRule="exact"/>
        <w:ind w:firstLine="480"/>
        <w:rPr>
          <w:rFonts w:hint="eastAsia" w:ascii="宋体" w:hAnsi="宋体" w:eastAsia="宋体" w:cs="宋体"/>
          <w:color w:val="auto"/>
          <w:sz w:val="24"/>
          <w:szCs w:val="24"/>
          <w:highlight w:val="none"/>
        </w:rPr>
      </w:pPr>
    </w:p>
    <w:p>
      <w:pPr>
        <w:pStyle w:val="23"/>
        <w:ind w:firstLine="48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lang w:val="en-US" w:eastAsia="zh-CN" w:bidi="ar-SA"/>
        </w:rPr>
        <w:t>（供应商公章）</w:t>
      </w:r>
    </w:p>
    <w:p>
      <w:pPr>
        <w:pStyle w:val="23"/>
        <w:ind w:firstLine="48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年    月    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3F"/>
    <w:rsid w:val="0000021C"/>
    <w:rsid w:val="00001640"/>
    <w:rsid w:val="00011B34"/>
    <w:rsid w:val="0001646F"/>
    <w:rsid w:val="00030EB8"/>
    <w:rsid w:val="00071EE2"/>
    <w:rsid w:val="00090672"/>
    <w:rsid w:val="000B786F"/>
    <w:rsid w:val="000D76DC"/>
    <w:rsid w:val="000E60E6"/>
    <w:rsid w:val="000F5163"/>
    <w:rsid w:val="0015096B"/>
    <w:rsid w:val="00190585"/>
    <w:rsid w:val="0019064C"/>
    <w:rsid w:val="001D41BE"/>
    <w:rsid w:val="001E355E"/>
    <w:rsid w:val="00226048"/>
    <w:rsid w:val="00230769"/>
    <w:rsid w:val="00294380"/>
    <w:rsid w:val="00294736"/>
    <w:rsid w:val="002D2A3C"/>
    <w:rsid w:val="00347BE4"/>
    <w:rsid w:val="003563AB"/>
    <w:rsid w:val="0037083E"/>
    <w:rsid w:val="00371AAD"/>
    <w:rsid w:val="003764CC"/>
    <w:rsid w:val="003978D4"/>
    <w:rsid w:val="003B2256"/>
    <w:rsid w:val="003B60E3"/>
    <w:rsid w:val="003C471C"/>
    <w:rsid w:val="003E5918"/>
    <w:rsid w:val="00400675"/>
    <w:rsid w:val="004035B6"/>
    <w:rsid w:val="00406562"/>
    <w:rsid w:val="00416D27"/>
    <w:rsid w:val="00425F7C"/>
    <w:rsid w:val="0043321F"/>
    <w:rsid w:val="00446CC6"/>
    <w:rsid w:val="00451F51"/>
    <w:rsid w:val="004768B9"/>
    <w:rsid w:val="0049206C"/>
    <w:rsid w:val="004B7E93"/>
    <w:rsid w:val="004E6FF6"/>
    <w:rsid w:val="004F044B"/>
    <w:rsid w:val="005240E5"/>
    <w:rsid w:val="00536058"/>
    <w:rsid w:val="005517FF"/>
    <w:rsid w:val="00572AD5"/>
    <w:rsid w:val="00580A6E"/>
    <w:rsid w:val="005A371F"/>
    <w:rsid w:val="005B5CCE"/>
    <w:rsid w:val="005B6A43"/>
    <w:rsid w:val="005E0ED2"/>
    <w:rsid w:val="006033F4"/>
    <w:rsid w:val="00622081"/>
    <w:rsid w:val="00630178"/>
    <w:rsid w:val="00682085"/>
    <w:rsid w:val="00682A7F"/>
    <w:rsid w:val="00687F63"/>
    <w:rsid w:val="006C00FF"/>
    <w:rsid w:val="006F5003"/>
    <w:rsid w:val="007134B2"/>
    <w:rsid w:val="00714A43"/>
    <w:rsid w:val="00722C8E"/>
    <w:rsid w:val="00742CA9"/>
    <w:rsid w:val="0077740B"/>
    <w:rsid w:val="00780290"/>
    <w:rsid w:val="0078615C"/>
    <w:rsid w:val="007A5D7A"/>
    <w:rsid w:val="007B4DEF"/>
    <w:rsid w:val="007B6A2C"/>
    <w:rsid w:val="007E6786"/>
    <w:rsid w:val="007F1143"/>
    <w:rsid w:val="00832B33"/>
    <w:rsid w:val="00845335"/>
    <w:rsid w:val="00846A5B"/>
    <w:rsid w:val="008823EA"/>
    <w:rsid w:val="00893975"/>
    <w:rsid w:val="008E4EA1"/>
    <w:rsid w:val="008E77E9"/>
    <w:rsid w:val="008F6117"/>
    <w:rsid w:val="0090217D"/>
    <w:rsid w:val="00902D25"/>
    <w:rsid w:val="009618A9"/>
    <w:rsid w:val="00971597"/>
    <w:rsid w:val="009A4A05"/>
    <w:rsid w:val="009D571A"/>
    <w:rsid w:val="009E013A"/>
    <w:rsid w:val="00A33775"/>
    <w:rsid w:val="00A4427F"/>
    <w:rsid w:val="00A54133"/>
    <w:rsid w:val="00A80976"/>
    <w:rsid w:val="00A948FD"/>
    <w:rsid w:val="00AA0B22"/>
    <w:rsid w:val="00AB573F"/>
    <w:rsid w:val="00AD52B2"/>
    <w:rsid w:val="00AF3331"/>
    <w:rsid w:val="00BF4530"/>
    <w:rsid w:val="00C06401"/>
    <w:rsid w:val="00C36E6B"/>
    <w:rsid w:val="00C43314"/>
    <w:rsid w:val="00C53023"/>
    <w:rsid w:val="00C60CB1"/>
    <w:rsid w:val="00C753CA"/>
    <w:rsid w:val="00CA4F3E"/>
    <w:rsid w:val="00D1071D"/>
    <w:rsid w:val="00D15881"/>
    <w:rsid w:val="00D36636"/>
    <w:rsid w:val="00D51213"/>
    <w:rsid w:val="00D6513A"/>
    <w:rsid w:val="00D75877"/>
    <w:rsid w:val="00D91D56"/>
    <w:rsid w:val="00DB22D5"/>
    <w:rsid w:val="00DD07A4"/>
    <w:rsid w:val="00DE2504"/>
    <w:rsid w:val="00DE3643"/>
    <w:rsid w:val="00E05158"/>
    <w:rsid w:val="00E25490"/>
    <w:rsid w:val="00E73802"/>
    <w:rsid w:val="00EC2A22"/>
    <w:rsid w:val="00F27CE4"/>
    <w:rsid w:val="00F557D8"/>
    <w:rsid w:val="00F80156"/>
    <w:rsid w:val="00F969E1"/>
    <w:rsid w:val="00FD316E"/>
    <w:rsid w:val="00FE0C16"/>
    <w:rsid w:val="01CB5045"/>
    <w:rsid w:val="058C7FB2"/>
    <w:rsid w:val="07323CED"/>
    <w:rsid w:val="0C01270D"/>
    <w:rsid w:val="0C293A5E"/>
    <w:rsid w:val="0CA640D5"/>
    <w:rsid w:val="0D570B95"/>
    <w:rsid w:val="0D894E1E"/>
    <w:rsid w:val="0DFD673C"/>
    <w:rsid w:val="0E5B7139"/>
    <w:rsid w:val="12193F55"/>
    <w:rsid w:val="12974F95"/>
    <w:rsid w:val="13D15463"/>
    <w:rsid w:val="146C1091"/>
    <w:rsid w:val="17875B2C"/>
    <w:rsid w:val="1BA847B5"/>
    <w:rsid w:val="1C5C0848"/>
    <w:rsid w:val="1F02792D"/>
    <w:rsid w:val="1FDF3EF8"/>
    <w:rsid w:val="20C7631D"/>
    <w:rsid w:val="23374961"/>
    <w:rsid w:val="247B01FD"/>
    <w:rsid w:val="26956CB0"/>
    <w:rsid w:val="27192C23"/>
    <w:rsid w:val="2832485B"/>
    <w:rsid w:val="29A40FEE"/>
    <w:rsid w:val="2A2A70F4"/>
    <w:rsid w:val="2A793E01"/>
    <w:rsid w:val="2BA77F2A"/>
    <w:rsid w:val="2D923385"/>
    <w:rsid w:val="2E845948"/>
    <w:rsid w:val="30B80A62"/>
    <w:rsid w:val="34F16000"/>
    <w:rsid w:val="35E6360B"/>
    <w:rsid w:val="3C603FB9"/>
    <w:rsid w:val="3D313ED3"/>
    <w:rsid w:val="417135B4"/>
    <w:rsid w:val="41742838"/>
    <w:rsid w:val="425C3227"/>
    <w:rsid w:val="43843F7B"/>
    <w:rsid w:val="43B061F7"/>
    <w:rsid w:val="4591157E"/>
    <w:rsid w:val="45AE77E8"/>
    <w:rsid w:val="468B6D07"/>
    <w:rsid w:val="46C410F2"/>
    <w:rsid w:val="47BB43A0"/>
    <w:rsid w:val="47CB0F70"/>
    <w:rsid w:val="4B10474B"/>
    <w:rsid w:val="4C452ECD"/>
    <w:rsid w:val="4C9A4949"/>
    <w:rsid w:val="4D140152"/>
    <w:rsid w:val="4EB15AC2"/>
    <w:rsid w:val="4EF67739"/>
    <w:rsid w:val="55A05132"/>
    <w:rsid w:val="55AA59FC"/>
    <w:rsid w:val="56322DA8"/>
    <w:rsid w:val="58C814AC"/>
    <w:rsid w:val="5AEB5EB5"/>
    <w:rsid w:val="5B50649F"/>
    <w:rsid w:val="5CDC70CA"/>
    <w:rsid w:val="5E89289D"/>
    <w:rsid w:val="5EB32B3F"/>
    <w:rsid w:val="60AA7D73"/>
    <w:rsid w:val="61747B2A"/>
    <w:rsid w:val="630E0E6B"/>
    <w:rsid w:val="658B3CB1"/>
    <w:rsid w:val="67031845"/>
    <w:rsid w:val="670A220C"/>
    <w:rsid w:val="671B7D9E"/>
    <w:rsid w:val="676636E0"/>
    <w:rsid w:val="68B83163"/>
    <w:rsid w:val="69F90948"/>
    <w:rsid w:val="6C573D12"/>
    <w:rsid w:val="6DCF3AB0"/>
    <w:rsid w:val="6DDFF2D4"/>
    <w:rsid w:val="6DFFE283"/>
    <w:rsid w:val="6E1A2194"/>
    <w:rsid w:val="738E08EE"/>
    <w:rsid w:val="73EE3AC7"/>
    <w:rsid w:val="73FF310B"/>
    <w:rsid w:val="751E52E6"/>
    <w:rsid w:val="75516AAE"/>
    <w:rsid w:val="76F96EAB"/>
    <w:rsid w:val="772F3F2C"/>
    <w:rsid w:val="77586B68"/>
    <w:rsid w:val="791202F8"/>
    <w:rsid w:val="7B466720"/>
    <w:rsid w:val="7BFB662E"/>
    <w:rsid w:val="7E1E2E47"/>
    <w:rsid w:val="7E6813D6"/>
    <w:rsid w:val="7E7378D0"/>
    <w:rsid w:val="7ED134B5"/>
    <w:rsid w:val="7EE68F26"/>
    <w:rsid w:val="7FF75497"/>
    <w:rsid w:val="D7A008B0"/>
    <w:rsid w:val="DD7FBC56"/>
    <w:rsid w:val="EBDF413B"/>
    <w:rsid w:val="EFAFD4E3"/>
    <w:rsid w:val="F379588E"/>
    <w:rsid w:val="F4ECBDB8"/>
    <w:rsid w:val="F6FFA176"/>
    <w:rsid w:val="F7FFF0D8"/>
    <w:rsid w:val="FAA4A6F7"/>
    <w:rsid w:val="FDF89FED"/>
    <w:rsid w:val="FEDFE525"/>
    <w:rsid w:val="FFF6515C"/>
    <w:rsid w:val="FFFDA5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8"/>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0"/>
    <w:pPr>
      <w:keepNext/>
      <w:keepLines/>
      <w:widowControl w:val="0"/>
      <w:adjustRightInd w:val="0"/>
      <w:snapToGrid w:val="0"/>
      <w:spacing w:beforeLines="20" w:afterLines="20" w:line="380" w:lineRule="atLeast"/>
      <w:ind w:firstLine="140" w:firstLineChars="140"/>
      <w:outlineLvl w:val="1"/>
    </w:pPr>
    <w:rPr>
      <w:rFonts w:ascii="宋体" w:hAnsi="宋体" w:eastAsia="黑体"/>
      <w:b/>
      <w:bCs/>
      <w:sz w:val="30"/>
    </w:rPr>
  </w:style>
  <w:style w:type="paragraph" w:styleId="4">
    <w:name w:val="heading 3"/>
    <w:basedOn w:val="1"/>
    <w:next w:val="1"/>
    <w:link w:val="15"/>
    <w:qFormat/>
    <w:uiPriority w:val="0"/>
    <w:pPr>
      <w:keepNext/>
      <w:keepLines/>
      <w:spacing w:before="260" w:after="260" w:line="413" w:lineRule="auto"/>
      <w:outlineLvl w:val="2"/>
    </w:pPr>
    <w:rPr>
      <w:b/>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17"/>
    <w:semiHidden/>
    <w:unhideWhenUsed/>
    <w:qFormat/>
    <w:uiPriority w:val="99"/>
    <w:rPr>
      <w:rFonts w:ascii="宋体"/>
      <w:sz w:val="18"/>
      <w:szCs w:val="18"/>
    </w:rPr>
  </w:style>
  <w:style w:type="paragraph" w:styleId="6">
    <w:name w:val="Body Text"/>
    <w:basedOn w:val="1"/>
    <w:next w:val="1"/>
    <w:qFormat/>
    <w:uiPriority w:val="0"/>
    <w:pPr>
      <w:widowControl w:val="0"/>
      <w:spacing w:after="120"/>
    </w:pPr>
    <w:rPr>
      <w:rFonts w:ascii="宋体" w:hAnsi="宋体" w:eastAsia="宋体"/>
      <w:sz w:val="28"/>
      <w:szCs w:val="20"/>
      <w:lang w:eastAsia="en-US"/>
    </w:rPr>
  </w:style>
  <w:style w:type="paragraph" w:styleId="7">
    <w:name w:val="Body Text Indent"/>
    <w:basedOn w:val="1"/>
    <w:qFormat/>
    <w:uiPriority w:val="0"/>
    <w:pPr>
      <w:spacing w:line="700" w:lineRule="exact"/>
      <w:ind w:left="960"/>
    </w:pPr>
    <w:rPr>
      <w:sz w:val="44"/>
    </w:rPr>
  </w:style>
  <w:style w:type="paragraph" w:styleId="8">
    <w:name w:val="Date"/>
    <w:basedOn w:val="1"/>
    <w:next w:val="1"/>
    <w:qFormat/>
    <w:uiPriority w:val="0"/>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spacing w:line="180" w:lineRule="auto"/>
      <w:jc w:val="center"/>
    </w:pPr>
    <w:rPr>
      <w:sz w:val="30"/>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5">
    <w:name w:val="标题 3 字符"/>
    <w:basedOn w:val="14"/>
    <w:link w:val="4"/>
    <w:qFormat/>
    <w:uiPriority w:val="0"/>
    <w:rPr>
      <w:rFonts w:ascii="Calibri" w:hAnsi="Calibri" w:eastAsia="宋体" w:cs="Times New Roman"/>
      <w:b/>
      <w:sz w:val="32"/>
      <w:szCs w:val="20"/>
    </w:rPr>
  </w:style>
  <w:style w:type="paragraph" w:customStyle="1" w:styleId="16">
    <w:name w:val="_Style 37"/>
    <w:basedOn w:val="5"/>
    <w:qFormat/>
    <w:uiPriority w:val="0"/>
    <w:pPr>
      <w:shd w:val="clear" w:color="auto" w:fill="000080"/>
    </w:pPr>
    <w:rPr>
      <w:rFonts w:ascii="Calibri"/>
      <w:sz w:val="28"/>
      <w:szCs w:val="20"/>
    </w:rPr>
  </w:style>
  <w:style w:type="character" w:customStyle="1" w:styleId="17">
    <w:name w:val="文档结构图 字符"/>
    <w:basedOn w:val="14"/>
    <w:link w:val="5"/>
    <w:semiHidden/>
    <w:qFormat/>
    <w:uiPriority w:val="99"/>
    <w:rPr>
      <w:rFonts w:ascii="宋体" w:hAnsi="Calibri"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页眉 字符"/>
    <w:basedOn w:val="14"/>
    <w:link w:val="10"/>
    <w:qFormat/>
    <w:uiPriority w:val="99"/>
    <w:rPr>
      <w:rFonts w:ascii="Calibri" w:hAnsi="Calibri" w:eastAsia="宋体" w:cs="Times New Roman"/>
      <w:sz w:val="18"/>
      <w:szCs w:val="18"/>
    </w:rPr>
  </w:style>
  <w:style w:type="character" w:customStyle="1" w:styleId="20">
    <w:name w:val="页脚 字符"/>
    <w:basedOn w:val="14"/>
    <w:link w:val="9"/>
    <w:qFormat/>
    <w:uiPriority w:val="99"/>
    <w:rPr>
      <w:rFonts w:ascii="Calibri" w:hAnsi="Calibri" w:eastAsia="宋体" w:cs="Times New Roman"/>
      <w:sz w:val="18"/>
      <w:szCs w:val="18"/>
    </w:rPr>
  </w:style>
  <w:style w:type="character" w:customStyle="1" w:styleId="21">
    <w:name w:val="标题 1 字符"/>
    <w:basedOn w:val="14"/>
    <w:link w:val="2"/>
    <w:qFormat/>
    <w:uiPriority w:val="9"/>
    <w:rPr>
      <w:rFonts w:ascii="Calibri" w:hAnsi="Calibri"/>
      <w:b/>
      <w:bCs/>
      <w:kern w:val="44"/>
      <w:sz w:val="44"/>
      <w:szCs w:val="44"/>
    </w:rPr>
  </w:style>
  <w:style w:type="character" w:customStyle="1" w:styleId="22">
    <w:name w:val="标题 2 Char"/>
    <w:link w:val="3"/>
    <w:qFormat/>
    <w:locked/>
    <w:uiPriority w:val="99"/>
    <w:rPr>
      <w:rFonts w:ascii="宋体" w:hAnsi="宋体" w:eastAsia="黑体"/>
      <w:b/>
      <w:bCs/>
      <w:sz w:val="30"/>
    </w:rPr>
  </w:style>
  <w:style w:type="paragraph" w:customStyle="1" w:styleId="23">
    <w:name w:val="身份证明授权委托投标函等行距"/>
    <w:qFormat/>
    <w:uiPriority w:val="0"/>
    <w:pPr>
      <w:spacing w:line="560" w:lineRule="exact"/>
      <w:ind w:firstLine="200" w:firstLineChars="200"/>
    </w:pPr>
    <w:rPr>
      <w:rFonts w:ascii="Times New Roman" w:hAnsi="Times New Roman" w:eastAsia="仿宋_GB2312"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664</Words>
  <Characters>3790</Characters>
  <Lines>31</Lines>
  <Paragraphs>8</Paragraphs>
  <TotalTime>1</TotalTime>
  <ScaleCrop>false</ScaleCrop>
  <LinksUpToDate>false</LinksUpToDate>
  <CharactersWithSpaces>4446</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2019-07-06T14:53:00Z</dcterms:created>
  <dc:creator>微软用户</dc:creator>
  <cp:lastModifiedBy>Jesse</cp:lastModifiedBy>
  <dcterms:modified xsi:type="dcterms:W3CDTF">2026-08-11T03:50:52Z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F5F56C141AB81C904BF65D66808D7134_42</vt:lpwstr>
  </property>
</Properties>
</file>