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放射诊疗设备及场所检测服务需求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一、服务内容</w:t>
      </w:r>
    </w:p>
    <w:tbl>
      <w:tblPr>
        <w:tblStyle w:val="2"/>
        <w:tblW w:w="79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8"/>
        <w:gridCol w:w="1920"/>
        <w:gridCol w:w="1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普通X射线机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CT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小C臂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后装机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DSA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骨密度仪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后装机换源稳定性检测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医用直线加速器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模拟定位机（CT）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口腔CT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二、要求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1.服务商具有放射卫生技术服务机构资质证书（甲级资质），有国家级放射专家库专家优先。（提供证书复印件）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2.服务商需具有CMA或CNAS资质。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3.服务商具有质量管理体系认证证书、环境管理体系认证证书。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4.服务商注册地在重庆地区，能随时配合我院接受卫生健康行政主管部门的监督检查。</w:t>
      </w: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5.服务商在检测过程中，发现问题，应及时告知医院，并积极协助、督促医院整改，依法依规出具检测报告。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93396"/>
    <w:rsid w:val="4EE06E01"/>
    <w:rsid w:val="4FA9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2026-03-03T03:04:00Z</dcterms:created>
  <dc:creator>Administrator</dc:creator>
  <cp:lastModifiedBy>李静洪</cp:lastModifiedBy>
  <cp:lastPrinted>2026-03-03T03:47:01Z</cp:lastPrinted>
  <dcterms:modified xsi:type="dcterms:W3CDTF">2026-03-03T03:49:13Z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