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851B">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007B9FFD">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询价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1856031F">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25037</w:t>
      </w:r>
      <w:r>
        <w:rPr>
          <w:rFonts w:hint="eastAsia" w:ascii="黑体" w:eastAsia="黑体" w:cs="黑体"/>
          <w:color w:val="000000" w:themeColor="text1"/>
          <w:sz w:val="32"/>
          <w:szCs w:val="32"/>
          <w14:textFill>
            <w14:solidFill>
              <w14:schemeClr w14:val="tx1"/>
            </w14:solidFill>
          </w14:textFill>
        </w:rPr>
        <w:t>）</w:t>
      </w:r>
    </w:p>
    <w:p w14:paraId="07D86139">
      <w:pPr>
        <w:spacing w:line="700" w:lineRule="exact"/>
        <w:jc w:val="center"/>
        <w:rPr>
          <w:rFonts w:ascii="黑体" w:eastAsia="黑体" w:cs="Times New Roman"/>
          <w:color w:val="000000" w:themeColor="text1"/>
          <w:sz w:val="32"/>
          <w:szCs w:val="32"/>
          <w14:textFill>
            <w14:solidFill>
              <w14:schemeClr w14:val="tx1"/>
            </w14:solidFill>
          </w14:textFill>
        </w:rPr>
      </w:pPr>
    </w:p>
    <w:p w14:paraId="31128916">
      <w:pPr>
        <w:spacing w:line="700" w:lineRule="exact"/>
        <w:jc w:val="center"/>
        <w:rPr>
          <w:rFonts w:ascii="黑体" w:eastAsia="黑体" w:cs="Times New Roman"/>
          <w:color w:val="000000" w:themeColor="text1"/>
          <w:sz w:val="32"/>
          <w:szCs w:val="32"/>
          <w14:textFill>
            <w14:solidFill>
              <w14:schemeClr w14:val="tx1"/>
            </w14:solidFill>
          </w14:textFill>
        </w:rPr>
      </w:pPr>
    </w:p>
    <w:p w14:paraId="79EE0892">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58153744">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088FC9FC">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14:paraId="69D8DB49">
      <w:pPr>
        <w:spacing w:line="700" w:lineRule="exact"/>
        <w:ind w:firstLine="1800" w:firstLineChars="5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医疗责任保险服务（第二次）</w:t>
      </w:r>
    </w:p>
    <w:p w14:paraId="1A4C8E7E">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14:paraId="518BD0F4">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14:paraId="65A59291">
      <w:pPr>
        <w:pStyle w:val="2"/>
        <w:rPr>
          <w:color w:val="000000" w:themeColor="text1"/>
          <w14:textFill>
            <w14:solidFill>
              <w14:schemeClr w14:val="tx1"/>
            </w14:solidFill>
          </w14:textFill>
        </w:rPr>
      </w:pPr>
    </w:p>
    <w:p w14:paraId="7E7D80F3">
      <w:pPr>
        <w:pStyle w:val="2"/>
        <w:rPr>
          <w:color w:val="000000" w:themeColor="text1"/>
          <w14:textFill>
            <w14:solidFill>
              <w14:schemeClr w14:val="tx1"/>
            </w14:solidFill>
          </w14:textFill>
        </w:rPr>
      </w:pPr>
    </w:p>
    <w:p w14:paraId="66B2AEC4">
      <w:pPr>
        <w:rPr>
          <w:color w:val="000000" w:themeColor="text1"/>
          <w14:textFill>
            <w14:solidFill>
              <w14:schemeClr w14:val="tx1"/>
            </w14:solidFill>
          </w14:textFill>
        </w:rPr>
      </w:pPr>
    </w:p>
    <w:p w14:paraId="09C14675">
      <w:pPr>
        <w:pStyle w:val="2"/>
        <w:rPr>
          <w:color w:val="000000" w:themeColor="text1"/>
          <w14:textFill>
            <w14:solidFill>
              <w14:schemeClr w14:val="tx1"/>
            </w14:solidFill>
          </w14:textFill>
        </w:rPr>
      </w:pPr>
    </w:p>
    <w:p w14:paraId="55542E12">
      <w:pPr>
        <w:rPr>
          <w:color w:val="000000" w:themeColor="text1"/>
          <w14:textFill>
            <w14:solidFill>
              <w14:schemeClr w14:val="tx1"/>
            </w14:solidFill>
          </w14:textFill>
        </w:rPr>
      </w:pPr>
    </w:p>
    <w:p w14:paraId="1E8002C9">
      <w:pPr>
        <w:pStyle w:val="2"/>
        <w:rPr>
          <w:color w:val="000000" w:themeColor="text1"/>
          <w14:textFill>
            <w14:solidFill>
              <w14:schemeClr w14:val="tx1"/>
            </w14:solidFill>
          </w14:textFill>
        </w:rPr>
      </w:pPr>
    </w:p>
    <w:p w14:paraId="4B0B211D">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二五</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八</w:t>
      </w:r>
      <w:r>
        <w:rPr>
          <w:rFonts w:hint="eastAsia" w:ascii="方正黑体_GBK" w:hAnsi="宋体" w:eastAsia="方正黑体_GBK" w:cs="方正黑体_GBK"/>
          <w:color w:val="000000" w:themeColor="text1"/>
          <w:sz w:val="48"/>
          <w:szCs w:val="48"/>
          <w14:textFill>
            <w14:solidFill>
              <w14:schemeClr w14:val="tx1"/>
            </w14:solidFill>
          </w14:textFill>
        </w:rPr>
        <w:t>月</w:t>
      </w:r>
    </w:p>
    <w:p w14:paraId="1225066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w:t>
      </w:r>
    </w:p>
    <w:p w14:paraId="114D35E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重庆市巴南区第二人民医院</w:t>
      </w:r>
      <w:r>
        <w:rPr>
          <w:rFonts w:hint="eastAsia" w:ascii="方正仿宋_GBK" w:hAnsi="宋体" w:eastAsia="方正仿宋_GBK" w:cs="宋体"/>
          <w:color w:val="000000" w:themeColor="text1"/>
          <w:sz w:val="32"/>
          <w:szCs w:val="32"/>
          <w:lang w:val="en-US" w:eastAsia="zh-CN"/>
          <w14:textFill>
            <w14:solidFill>
              <w14:schemeClr w14:val="tx1"/>
            </w14:solidFill>
          </w14:textFill>
        </w:rPr>
        <w:t>医疗责任保险服务项目</w:t>
      </w:r>
      <w:r>
        <w:rPr>
          <w:rFonts w:hint="eastAsia" w:ascii="方正仿宋_GBK" w:hAnsi="宋体" w:eastAsia="方正仿宋_GBK" w:cs="宋体"/>
          <w:color w:val="000000" w:themeColor="text1"/>
          <w:sz w:val="32"/>
          <w:szCs w:val="32"/>
          <w14:textFill>
            <w14:solidFill>
              <w14:schemeClr w14:val="tx1"/>
            </w14:solidFill>
          </w14:textFill>
        </w:rPr>
        <w:t>，项目编</w:t>
      </w:r>
      <w:r>
        <w:rPr>
          <w:rFonts w:hint="eastAsia" w:ascii="方正仿宋_GBK" w:hAnsi="宋体" w:eastAsia="方正仿宋_GBK" w:cs="宋体"/>
          <w:color w:val="000000" w:themeColor="text1"/>
          <w:sz w:val="32"/>
          <w:szCs w:val="32"/>
          <w:lang w:val="en-US" w:eastAsia="zh-CN"/>
          <w14:textFill>
            <w14:solidFill>
              <w14:schemeClr w14:val="tx1"/>
            </w14:solidFill>
          </w14:textFill>
        </w:rPr>
        <w:t>号</w:t>
      </w:r>
      <w:r>
        <w:rPr>
          <w:rFonts w:hint="eastAsia" w:ascii="方正仿宋_GBK" w:hAnsi="宋体" w:eastAsia="方正仿宋_GBK" w:cs="宋体"/>
          <w:color w:val="000000" w:themeColor="text1"/>
          <w:sz w:val="32"/>
          <w:szCs w:val="32"/>
          <w14:textFill>
            <w14:solidFill>
              <w14:schemeClr w14:val="tx1"/>
            </w14:solidFill>
          </w14:textFill>
        </w:rPr>
        <w:t>BNQHXYY20</w:t>
      </w:r>
      <w:r>
        <w:rPr>
          <w:rFonts w:hint="eastAsia" w:ascii="方正仿宋_GBK" w:hAnsi="宋体" w:eastAsia="方正仿宋_GBK" w:cs="宋体"/>
          <w:color w:val="000000" w:themeColor="text1"/>
          <w:sz w:val="32"/>
          <w:szCs w:val="32"/>
          <w:lang w:val="en-US" w:eastAsia="zh-CN"/>
          <w14:textFill>
            <w14:solidFill>
              <w14:schemeClr w14:val="tx1"/>
            </w14:solidFill>
          </w14:textFill>
        </w:rPr>
        <w:t>25037，项目最高限价39.8万元</w:t>
      </w:r>
      <w:r>
        <w:rPr>
          <w:rFonts w:hint="eastAsia" w:ascii="方正仿宋_GBK" w:hAnsi="宋体" w:eastAsia="方正仿宋_GBK" w:cs="宋体"/>
          <w:color w:val="000000" w:themeColor="text1"/>
          <w:sz w:val="32"/>
          <w:szCs w:val="32"/>
          <w14:textFill>
            <w14:solidFill>
              <w14:schemeClr w14:val="tx1"/>
            </w14:solidFill>
          </w14:textFill>
        </w:rPr>
        <w:t>。</w:t>
      </w:r>
    </w:p>
    <w:p w14:paraId="1E9688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上述项目实施内容及相关要求详见</w:t>
      </w:r>
      <w:r>
        <w:rPr>
          <w:rFonts w:hint="eastAsia" w:ascii="方正仿宋_GBK" w:hAnsi="宋体" w:eastAsia="方正仿宋_GBK" w:cs="宋体"/>
          <w:color w:val="000000" w:themeColor="text1"/>
          <w:sz w:val="32"/>
          <w:szCs w:val="32"/>
          <w:lang w:eastAsia="zh-CN"/>
          <w14:textFill>
            <w14:solidFill>
              <w14:schemeClr w14:val="tx1"/>
            </w14:solidFill>
          </w14:textFill>
        </w:rPr>
        <w:t>本文件第五条“</w:t>
      </w:r>
      <w:r>
        <w:rPr>
          <w:rFonts w:hint="eastAsia" w:ascii="方正仿宋_GBK" w:hAnsi="宋体" w:eastAsia="方正仿宋_GBK" w:cs="宋体"/>
          <w:color w:val="000000" w:themeColor="text1"/>
          <w:sz w:val="32"/>
          <w:szCs w:val="32"/>
          <w:lang w:val="en-US" w:eastAsia="zh-CN"/>
          <w14:textFill>
            <w14:solidFill>
              <w14:schemeClr w14:val="tx1"/>
            </w14:solidFill>
          </w14:textFill>
        </w:rPr>
        <w:t>服务要求</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w:t>
      </w:r>
    </w:p>
    <w:p w14:paraId="5D4E7096">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14:paraId="6D841EB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443B0125">
      <w:pPr>
        <w:pStyle w:val="16"/>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14:paraId="591A21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000000" w:themeColor="text1"/>
          <w:sz w:val="32"/>
          <w:szCs w:val="32"/>
          <w14:textFill>
            <w14:solidFill>
              <w14:schemeClr w14:val="tx1"/>
            </w14:solidFill>
          </w14:textFill>
        </w:rPr>
        <w:t xml:space="preserve">（一） </w:t>
      </w:r>
      <w:r>
        <w:rPr>
          <w:rFonts w:hint="eastAsia" w:ascii="方正仿宋_GBK" w:hAnsi="宋体" w:eastAsia="方正仿宋_GBK" w:cs="宋体"/>
          <w:color w:val="auto"/>
          <w:sz w:val="32"/>
          <w:szCs w:val="32"/>
          <w:lang w:val="en-US" w:eastAsia="zh-CN"/>
        </w:rPr>
        <w:t>报名方式</w:t>
      </w:r>
    </w:p>
    <w:p w14:paraId="4EC6846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目询价</w:t>
      </w:r>
      <w:r>
        <w:rPr>
          <w:rFonts w:hint="eastAsia" w:ascii="方正仿宋_GBK" w:hAnsi="宋体" w:eastAsia="方正仿宋_GBK" w:cs="宋体"/>
          <w:color w:val="auto"/>
          <w:sz w:val="32"/>
          <w:szCs w:val="32"/>
        </w:rPr>
        <w:t>文件（不提供现场发售）。</w:t>
      </w:r>
    </w:p>
    <w:p w14:paraId="1DC4A23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供应商报名获取询价文书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077534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13</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37638A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10FF6F1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13</w:t>
      </w:r>
      <w:bookmarkStart w:id="3" w:name="_GoBack"/>
      <w:bookmarkEnd w:id="3"/>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547A36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38A0B83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671E3E38">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询价</w:t>
      </w:r>
      <w:r>
        <w:rPr>
          <w:rFonts w:hint="eastAsia" w:ascii="黑体" w:hAnsi="黑体" w:eastAsia="黑体" w:cs="黑体"/>
          <w:color w:val="000000" w:themeColor="text1"/>
          <w:sz w:val="32"/>
          <w:szCs w:val="32"/>
          <w14:textFill>
            <w14:solidFill>
              <w14:schemeClr w14:val="tx1"/>
            </w14:solidFill>
          </w14:textFill>
        </w:rPr>
        <w:t>有关规定</w:t>
      </w:r>
    </w:p>
    <w:p w14:paraId="2EFE53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27F2C3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（二）同一合同包的货物、服务，制造商参与询价的，不得再委托代理商参与。</w:t>
      </w:r>
    </w:p>
    <w:p w14:paraId="38BBC49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0E2736B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（四）无论询价结果如何，供应商参与本项目的所有费用均由供应商自行承担。</w:t>
      </w:r>
    </w:p>
    <w:p w14:paraId="7003D16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03E111D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w:t>
      </w:r>
      <w:r>
        <w:rPr>
          <w:rFonts w:hint="eastAsia" w:ascii="方正仿宋_GBK" w:hAnsi="宋体" w:eastAsia="方正仿宋_GBK" w:cs="宋体"/>
          <w:color w:val="000000" w:themeColor="text1"/>
          <w:sz w:val="32"/>
          <w:szCs w:val="32"/>
          <w:lang w:val="en-US" w:eastAsia="zh-CN"/>
          <w14:textFill>
            <w14:solidFill>
              <w14:schemeClr w14:val="tx1"/>
            </w14:solidFill>
          </w14:textFill>
        </w:rPr>
        <w:t>及服务</w:t>
      </w:r>
      <w:r>
        <w:rPr>
          <w:rFonts w:hint="eastAsia" w:ascii="方正仿宋_GBK" w:hAnsi="宋体" w:eastAsia="方正仿宋_GBK" w:cs="宋体"/>
          <w:color w:val="000000" w:themeColor="text1"/>
          <w:sz w:val="32"/>
          <w:szCs w:val="32"/>
          <w:lang w:eastAsia="zh-CN"/>
          <w14:textFill>
            <w14:solidFill>
              <w14:schemeClr w14:val="tx1"/>
            </w14:solidFill>
          </w14:textFill>
        </w:rPr>
        <w:t>，若其中任意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28B243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5F0E9C73">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14:paraId="566DAC92">
      <w:pPr>
        <w:spacing w:line="520" w:lineRule="exac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 xml:space="preserve">    （一）技术服务范围</w:t>
      </w:r>
    </w:p>
    <w:p w14:paraId="231680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供应商在医疗责任保险服务项目保险期内对医院出现的与医疗相关的经济赔偿进行保险赔付。</w:t>
      </w:r>
    </w:p>
    <w:p w14:paraId="79C8E40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（二）技术服务内容</w:t>
      </w:r>
    </w:p>
    <w:p w14:paraId="4072737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保险责任</w:t>
      </w:r>
    </w:p>
    <w:p w14:paraId="73929FB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在保险期间或保险合同载明的追溯期内，被保险人在从事与其资格相符的诊疗活动时，因过错造成患者损害，由患者或其代理人在保险期间内首次向被保险人提出损害赔偿请求，依照中华人民共和国法律（不包括港澳台地区法律）应由被保险人承担的经济赔偿责任，保险人按照保险合同约定负责赔偿。</w:t>
      </w:r>
    </w:p>
    <w:p w14:paraId="1B58BBF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在保险期间或保险合同载明的追溯期内，被保险人在从事与其资格相符的诊疗活动中未尽到与当时的医疗水平相应的诊疗义务，造成患者损害，由患者或其代理人在保险期间内首次向被保险人提出损害赔偿请求，依照中华人民共和国法律（不包括港澳台地区法律）应由被保险人承担的经济赔偿责任，保险人按照保险合同约定负责赔偿。</w:t>
      </w:r>
    </w:p>
    <w:p w14:paraId="7C2B0DE6">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在保险期间或保险合同载明的追溯期内，被保险人在从事与其资格相符的诊疗活动中未依法向患者说明病情和医疗措施，或在未向患者或其近亲属（不宜向患者说明的情形下）说明医疗风险、替代医疗方案等并取得其书面同意的情况下实施手术、特殊检查、特殊治疗，造成患者损害，由患者或其代理人在保险期间内首次向被保险人提出损害赔偿请求，依照中华人民共和国法律（不包括港澳台地区法律）应由被保险人承担的经济赔偿责任，保险人按照保险合同约定负责赔偿。</w:t>
      </w:r>
    </w:p>
    <w:p w14:paraId="04FA5EE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保险事故发生后，被保险人因保险事故而被提起仲裁或者诉讼的，对应由被保险人支付的仲裁或诉讼费用以及事先经保险人书面同意支付的其它必要的、合理的鉴定费、尸检费、律师费等费用（以下简称“法律费用”），保险人按照保险合同约定也负责赔偿。</w:t>
      </w:r>
    </w:p>
    <w:p w14:paraId="097B7DF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责任免除</w:t>
      </w:r>
    </w:p>
    <w:p w14:paraId="37A7E24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1.出现下列任一情形时，保险人不负责赔偿：</w:t>
      </w:r>
    </w:p>
    <w:p w14:paraId="7537B36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1.1被保险人从事未经国家有关部门许可的诊疗活动；</w:t>
      </w:r>
    </w:p>
    <w:p w14:paraId="2A79B34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1.2被保险人被吊销执业许可证、被取消执业资格以及受停业、停职处分后仍继续进行诊疗活动；</w:t>
      </w:r>
    </w:p>
    <w:p w14:paraId="746663C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1.3被保险人进行实验性的诊疗活动；</w:t>
      </w:r>
    </w:p>
    <w:p w14:paraId="4D3E1360">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1.4被保险人对患者实施以美容或整形为目的的外科手术或治疗，除非这种手术或治疗是在患者因意外事故受伤后为维持生命或避免永久性伤残必需进行的。四肢疤痕整形和腋臭相关治疗及手术除外；</w:t>
      </w:r>
    </w:p>
    <w:p w14:paraId="70C9ECE0">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1.5被保险医务人员非代表被保险医疗机构进行诊疗活动；</w:t>
      </w:r>
    </w:p>
    <w:p w14:paraId="7F2AB0A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1.6被保险人在饮酒、吸毒或药剂麻醉状态下进行诊疗活动。</w:t>
      </w:r>
    </w:p>
    <w:p w14:paraId="6E8E1C4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2.下列原因造成的损失、费用和责任，保险人不负责赔偿：</w:t>
      </w:r>
    </w:p>
    <w:p w14:paraId="39D4A55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2.1投保人、被保险人及其代表的故意行为；</w:t>
      </w:r>
    </w:p>
    <w:p w14:paraId="03EEB38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2.2战争、敌对行动、军事行为、武装冲突、罢工、骚乱、暴动、恐怖活动；</w:t>
      </w:r>
    </w:p>
    <w:p w14:paraId="5EDD671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2.3核辐射、核爆炸、核污染及其他放射性污染；但使用放射器材治疗发生的赔偿责任，不在此限；</w:t>
      </w:r>
    </w:p>
    <w:p w14:paraId="685C3E2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2.4大气污染、土地污染、水污染及其他各种污染；</w:t>
      </w:r>
    </w:p>
    <w:p w14:paraId="7C18BBC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2.5</w:t>
      </w:r>
      <w:r>
        <w:rPr>
          <w:rFonts w:hint="eastAsia" w:ascii="方正仿宋_GBK" w:hAnsi="方正仿宋_GBK" w:eastAsia="方正仿宋_GBK" w:cs="方正仿宋_GBK"/>
          <w:b w:val="0"/>
          <w:bCs w:val="0"/>
          <w:color w:val="auto"/>
          <w:sz w:val="32"/>
          <w:szCs w:val="32"/>
          <w:lang w:eastAsia="zh-CN"/>
        </w:rPr>
        <w:t>非医疗过错的</w:t>
      </w:r>
      <w:r>
        <w:rPr>
          <w:rFonts w:hint="eastAsia" w:ascii="方正仿宋_GBK" w:hAnsi="方正仿宋_GBK" w:eastAsia="方正仿宋_GBK" w:cs="方正仿宋_GBK"/>
          <w:b w:val="0"/>
          <w:bCs w:val="0"/>
          <w:color w:val="auto"/>
          <w:sz w:val="32"/>
          <w:szCs w:val="32"/>
        </w:rPr>
        <w:t>行政行为或司法行为；</w:t>
      </w:r>
    </w:p>
    <w:p w14:paraId="36388DA3">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2.6地震、火山爆发、海啸、雷击、洪水、暴雨、台风、龙卷风、暴风、雪灾、雹灾、冰凌、泥石流、崖崩、地崩、突发性滑坡、地面突然下陷等自然灾害；</w:t>
      </w:r>
    </w:p>
    <w:p w14:paraId="74B764CF">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2.7火灾、爆炸；</w:t>
      </w:r>
    </w:p>
    <w:p w14:paraId="3CA118B1">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2.8被保险人使用伪劣的或未经国家有关部门批准使用的药品、消毒药剂、卫生材料、医疗器械或被感染的血制品；</w:t>
      </w:r>
    </w:p>
    <w:p w14:paraId="61F34188">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2.9被保险人在正当的诊断、治疗范围外使用麻醉药品、医疗用毒性药品、精神药品和放射性药品；</w:t>
      </w:r>
    </w:p>
    <w:p w14:paraId="63E5E11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3.下列损失、费用和责任，保险人不负责赔偿：</w:t>
      </w:r>
    </w:p>
    <w:p w14:paraId="14F2E61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3.1被保险人或其雇员的人身伤亡及其所有或管理的财产的损失；</w:t>
      </w:r>
    </w:p>
    <w:p w14:paraId="351ECDA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3.2被保险人应该承担的合同责任，但无合同存在时仍然应由被保险人承担的经济赔偿责任不在此限；</w:t>
      </w:r>
    </w:p>
    <w:p w14:paraId="6978CD87">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3.3罚款、罚金及惩罚性赔偿；</w:t>
      </w:r>
    </w:p>
    <w:p w14:paraId="4E466A7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3.4被保险人在本保险单载明的追溯日以前进行的诊疗活动中发生的保险事故所致的损失；</w:t>
      </w:r>
    </w:p>
    <w:p w14:paraId="0471BD3E">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3.5投保人、被保险人在本保险生效之前已经知道或可以合理预见的索赔情况；</w:t>
      </w:r>
    </w:p>
    <w:p w14:paraId="2B82749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3.6因患者或其近亲属不配合医疗机构进行符合诊疗规范的诊疗而导致的损害，但在此情形下，被保险人也存在过错的除外；</w:t>
      </w:r>
    </w:p>
    <w:p w14:paraId="50C9AF8F">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3.7被保险人泄露患者隐私或未经患者同意公开其病历资料所造成的损害；</w:t>
      </w:r>
    </w:p>
    <w:p w14:paraId="65019C8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3.8本保险合同中载明的免赔额。</w:t>
      </w:r>
    </w:p>
    <w:p w14:paraId="6BB2DAE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4.其他不属于本保险责任范围内的损失、费用和责任，保险人不负责赔偿。</w:t>
      </w:r>
    </w:p>
    <w:p w14:paraId="3D26900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（三）赔付形式及要求</w:t>
      </w:r>
    </w:p>
    <w:p w14:paraId="2126BD46">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根据第二条技术服务内容的要求，每人每次赔付额据实赔付</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全年累计赔付响应额不低于3</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0万元。</w:t>
      </w:r>
    </w:p>
    <w:p w14:paraId="0D0F481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单个案件赔偿金额以</w:t>
      </w:r>
      <w:r>
        <w:rPr>
          <w:rFonts w:hint="eastAsia" w:ascii="方正仿宋_GBK" w:hAnsi="方正仿宋_GBK" w:eastAsia="方正仿宋_GBK" w:cs="方正仿宋_GBK"/>
          <w:b w:val="0"/>
          <w:bCs w:val="0"/>
          <w:color w:val="auto"/>
          <w:sz w:val="32"/>
          <w:szCs w:val="32"/>
          <w:lang w:val="en-US" w:eastAsia="zh-CN"/>
        </w:rPr>
        <w:t>25</w:t>
      </w:r>
      <w:r>
        <w:rPr>
          <w:rFonts w:hint="eastAsia" w:ascii="方正仿宋_GBK" w:hAnsi="方正仿宋_GBK" w:eastAsia="方正仿宋_GBK" w:cs="方正仿宋_GBK"/>
          <w:b w:val="0"/>
          <w:bCs w:val="0"/>
          <w:color w:val="auto"/>
          <w:sz w:val="32"/>
          <w:szCs w:val="32"/>
        </w:rPr>
        <w:t>万元为限。</w:t>
      </w:r>
    </w:p>
    <w:p w14:paraId="7D78F933">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每次医疗责任保险事故核定赔偿总额的5%为绝对免赔率。</w:t>
      </w:r>
    </w:p>
    <w:p w14:paraId="4D907A02">
      <w:pPr>
        <w:spacing w:line="52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所有案件均由保险公司理赔参与并确认损失金额。</w:t>
      </w:r>
    </w:p>
    <w:p w14:paraId="3795209F">
      <w:pPr>
        <w:spacing w:line="560" w:lineRule="exact"/>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（四）违约责任</w:t>
      </w:r>
    </w:p>
    <w:p w14:paraId="581FEEFD">
      <w:pPr>
        <w:spacing w:line="520" w:lineRule="exact"/>
        <w:ind w:firstLine="645"/>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rPr>
        <w:t>双方应共同遵守合同各条款，在合同期内如有违约，违约方应</w:t>
      </w:r>
      <w:r>
        <w:rPr>
          <w:rFonts w:hint="eastAsia" w:ascii="方正仿宋_GBK" w:hAnsi="方正楷体_GBK" w:eastAsia="方正仿宋_GBK" w:cs="方正楷体_GBK"/>
          <w:bCs/>
          <w:sz w:val="32"/>
          <w:szCs w:val="32"/>
          <w:lang w:val="en-US" w:eastAsia="zh-CN"/>
        </w:rPr>
        <w:t>支付守约方违约赔偿金40万元人民币。</w:t>
      </w:r>
    </w:p>
    <w:p w14:paraId="12C6722D">
      <w:pPr>
        <w:spacing w:line="560" w:lineRule="exact"/>
        <w:ind w:firstLine="320" w:firstLineChars="1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五）不可抗力</w:t>
      </w:r>
    </w:p>
    <w:p w14:paraId="2362CD35">
      <w:pPr>
        <w:snapToGrid w:val="0"/>
        <w:spacing w:line="440" w:lineRule="exact"/>
        <w:ind w:firstLine="627" w:firstLineChars="196"/>
        <w:rPr>
          <w:rFonts w:hint="default" w:eastAsia="方正仿宋_GBK"/>
          <w:sz w:val="32"/>
          <w:szCs w:val="32"/>
          <w:lang w:val="en-US" w:eastAsia="zh-CN"/>
        </w:rPr>
      </w:pPr>
      <w:r>
        <w:rPr>
          <w:rFonts w:hint="eastAsia" w:ascii="方正仿宋_GBK" w:hAnsi="方正楷体_GBK" w:eastAsia="方正仿宋_GBK" w:cs="方正楷体_GBK"/>
          <w:bCs/>
          <w:sz w:val="32"/>
          <w:szCs w:val="32"/>
          <w:lang w:val="en-US" w:eastAsia="zh-CN"/>
        </w:rPr>
        <w:t>1.如一旦有构成不可抗力的时间发生，且成交人被认为无力履行全部或部分合同中规定的职责，成交人需以书面形式通知采购人并告知有关细节，采购人根据相关政策法规办理。</w:t>
      </w:r>
    </w:p>
    <w:p w14:paraId="2CEBF2CA">
      <w:pPr>
        <w:snapToGrid w:val="0"/>
        <w:spacing w:line="440" w:lineRule="exact"/>
        <w:ind w:firstLine="627" w:firstLineChars="196"/>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lang w:val="en-US" w:eastAsia="zh-CN"/>
        </w:rPr>
        <w:t>2.不可抗力应解释为大自然、战争（无论是否公开宣战）、入侵、暴动、叛乱或其他具有相似性质的事件。</w:t>
      </w:r>
    </w:p>
    <w:p w14:paraId="4DB2102F">
      <w:pPr>
        <w:pStyle w:val="2"/>
        <w:ind w:firstLine="320" w:firstLineChars="100"/>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lang w:val="en-US" w:eastAsia="zh-CN"/>
        </w:rPr>
        <w:t>（六）转让</w:t>
      </w:r>
    </w:p>
    <w:p w14:paraId="3BA05FEC">
      <w:pPr>
        <w:snapToGrid w:val="0"/>
        <w:spacing w:line="440" w:lineRule="exact"/>
        <w:ind w:firstLine="627" w:firstLineChars="196"/>
        <w:rPr>
          <w:rFonts w:hint="eastAsia"/>
          <w:lang w:val="en-US" w:eastAsia="zh-CN"/>
        </w:rPr>
      </w:pPr>
      <w:r>
        <w:rPr>
          <w:rFonts w:hint="eastAsia" w:ascii="方正仿宋_GBK" w:hAnsi="方正楷体_GBK" w:eastAsia="方正仿宋_GBK" w:cs="方正楷体_GBK"/>
          <w:bCs/>
          <w:sz w:val="32"/>
          <w:szCs w:val="32"/>
          <w:lang w:val="en-US" w:eastAsia="zh-CN"/>
        </w:rPr>
        <w:t>成交人不得将合同的任何部分或任何权利，利益或责任转让、委派、许诺、安排给其他人，除非有采购人的书面同意。</w:t>
      </w:r>
    </w:p>
    <w:p w14:paraId="30EA0D9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14:paraId="718FA8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0" w:name="_Toc267320049"/>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bookmarkEnd w:id="0"/>
      <w:r>
        <w:rPr>
          <w:rFonts w:hint="eastAsia" w:ascii="方正仿宋_GBK" w:hAnsi="宋体" w:eastAsia="方正仿宋_GBK" w:cs="宋体"/>
          <w:color w:val="000000" w:themeColor="text1"/>
          <w:sz w:val="32"/>
          <w:szCs w:val="32"/>
          <w:lang w:val="en-US" w:eastAsia="zh-CN"/>
          <w14:textFill>
            <w14:solidFill>
              <w14:schemeClr w14:val="tx1"/>
            </w14:solidFill>
          </w14:textFill>
        </w:rPr>
        <w:t>保险合同期限及要求</w:t>
      </w:r>
    </w:p>
    <w:p w14:paraId="6B4DB5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1.合同期限：一年，从合同签订之日起计算。</w:t>
      </w:r>
    </w:p>
    <w:p w14:paraId="5D6A9BEF">
      <w:pPr>
        <w:spacing w:line="520" w:lineRule="exact"/>
        <w:ind w:firstLine="640" w:firstLineChars="200"/>
        <w:rPr>
          <w:rFonts w:hint="eastAsia" w:ascii="方正仿宋_GBK" w:hAnsi="方正仿宋_GBK" w:eastAsia="方正仿宋_GBK" w:cs="方正仿宋_GBK"/>
          <w:b w:val="0"/>
          <w:bCs w:val="0"/>
          <w:color w:val="auto"/>
          <w:sz w:val="32"/>
          <w:szCs w:val="32"/>
        </w:rPr>
      </w:pPr>
      <w:bookmarkStart w:id="1" w:name="_Toc267320050"/>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成交供应商应按照双方合同约定事项，在服务期限内保证服务质量，履行相关责任和义务。服务中的一切风险（包括安全事故责任）均由成交供应商承担。</w:t>
      </w:r>
    </w:p>
    <w:bookmarkEnd w:id="1"/>
    <w:p w14:paraId="32D040F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宋体" w:eastAsia="仿宋_GB2312"/>
          <w:sz w:val="32"/>
          <w:szCs w:val="32"/>
          <w:lang w:val="en-US" w:eastAsia="zh-CN"/>
        </w:rPr>
      </w:pPr>
      <w:bookmarkStart w:id="2" w:name="_Toc267320051"/>
      <w:r>
        <w:rPr>
          <w:rFonts w:hint="eastAsia" w:ascii="仿宋_GB2312" w:hAnsi="宋体" w:eastAsia="仿宋_GB2312"/>
          <w:sz w:val="32"/>
          <w:szCs w:val="32"/>
        </w:rPr>
        <w:t>（二）</w:t>
      </w:r>
      <w:r>
        <w:rPr>
          <w:rFonts w:hint="eastAsia" w:ascii="仿宋_GB2312" w:hAnsi="宋体" w:eastAsia="仿宋_GB2312"/>
          <w:sz w:val="32"/>
          <w:szCs w:val="32"/>
          <w:lang w:val="en-US" w:eastAsia="zh-CN"/>
        </w:rPr>
        <w:t>项目报价</w:t>
      </w:r>
    </w:p>
    <w:p w14:paraId="1A28E0B0">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方正仿宋_GBK" w:cs="Times New Roman"/>
          <w:sz w:val="32"/>
          <w:szCs w:val="32"/>
          <w:lang w:val="en-US"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该项目最高限价</w:t>
      </w:r>
      <w:r>
        <w:rPr>
          <w:rFonts w:hint="eastAsia" w:ascii="仿宋_GB2312" w:hAnsi="宋体" w:eastAsia="仿宋_GB2312"/>
          <w:sz w:val="32"/>
          <w:szCs w:val="32"/>
          <w:highlight w:val="none"/>
          <w:lang w:val="en-US" w:eastAsia="zh-CN"/>
        </w:rPr>
        <w:t>398000.00元（ 叁拾玖万捌仟元整），</w:t>
      </w:r>
      <w:r>
        <w:rPr>
          <w:rFonts w:hint="eastAsia" w:ascii="仿宋_GB2312" w:hAnsi="宋体" w:eastAsia="仿宋_GB2312"/>
          <w:sz w:val="32"/>
          <w:szCs w:val="32"/>
          <w:lang w:val="en-US" w:eastAsia="zh-CN"/>
        </w:rPr>
        <w:t>超过最高限价的报价将作为废标。供应商报价包含承接采购人项目所需要的，</w:t>
      </w:r>
      <w:r>
        <w:rPr>
          <w:rFonts w:ascii="仿宋_GB2312" w:hAnsi="宋体" w:eastAsia="仿宋_GB2312"/>
          <w:sz w:val="32"/>
          <w:szCs w:val="32"/>
        </w:rPr>
        <w:t>效果达到国家标准</w:t>
      </w:r>
      <w:r>
        <w:rPr>
          <w:rFonts w:hint="eastAsia" w:ascii="仿宋_GB2312" w:hAnsi="宋体" w:eastAsia="仿宋_GB2312"/>
          <w:sz w:val="32"/>
          <w:szCs w:val="32"/>
        </w:rPr>
        <w:t>和合同服务要求</w:t>
      </w:r>
      <w:r>
        <w:rPr>
          <w:rFonts w:ascii="仿宋_GB2312" w:hAnsi="宋体" w:eastAsia="仿宋_GB2312"/>
          <w:sz w:val="32"/>
          <w:szCs w:val="32"/>
        </w:rPr>
        <w:t>的一切有关费用</w:t>
      </w:r>
      <w:r>
        <w:rPr>
          <w:rFonts w:hint="eastAsia" w:ascii="仿宋_GB2312" w:hAnsi="宋体" w:eastAsia="仿宋_GB2312"/>
          <w:sz w:val="32"/>
          <w:szCs w:val="32"/>
        </w:rPr>
        <w:t>。</w:t>
      </w:r>
      <w:r>
        <w:rPr>
          <w:rFonts w:hint="eastAsia" w:ascii="仿宋_GB2312" w:hAnsi="宋体" w:eastAsia="仿宋_GB2312"/>
          <w:sz w:val="32"/>
          <w:szCs w:val="32"/>
          <w:lang w:val="en-US" w:eastAsia="zh-CN"/>
        </w:rPr>
        <w:t>因成交供应商自身原因造成漏报、少报皆由其</w:t>
      </w:r>
      <w:r>
        <w:rPr>
          <w:rFonts w:hint="eastAsia" w:ascii="Times New Roman" w:hAnsi="Times New Roman" w:eastAsia="方正仿宋_GBK" w:cs="Times New Roman"/>
          <w:sz w:val="32"/>
          <w:szCs w:val="32"/>
          <w:lang w:val="en-US" w:eastAsia="zh-CN"/>
        </w:rPr>
        <w:t>自行承担责任，采购人不再补偿。</w:t>
      </w:r>
    </w:p>
    <w:p w14:paraId="2279FB3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（三）付款方式</w:t>
      </w:r>
      <w:bookmarkEnd w:id="2"/>
    </w:p>
    <w:p w14:paraId="2A7AB3E1">
      <w:pPr>
        <w:pStyle w:val="2"/>
        <w:keepNext w:val="0"/>
        <w:keepLines w:val="0"/>
        <w:pageBreakBefore w:val="0"/>
        <w:widowControl w:val="0"/>
        <w:numPr>
          <w:ilvl w:val="0"/>
          <w:numId w:val="0"/>
        </w:numPr>
        <w:kinsoku/>
        <w:wordWrap/>
        <w:overflowPunct/>
        <w:topLinePunct w:val="0"/>
        <w:autoSpaceDE/>
        <w:autoSpaceDN/>
        <w:bidi w:val="0"/>
        <w:snapToGrid/>
        <w:spacing w:after="0" w:line="500" w:lineRule="exact"/>
        <w:ind w:firstLine="640" w:firstLineChars="200"/>
        <w:textAlignment w:val="auto"/>
        <w:rPr>
          <w:rFonts w:ascii="仿宋_GB2312" w:hAnsi="宋体" w:eastAsia="仿宋_GB2312"/>
          <w:sz w:val="32"/>
          <w:szCs w:val="32"/>
        </w:rPr>
      </w:pPr>
      <w:r>
        <w:rPr>
          <w:rFonts w:hint="eastAsia" w:ascii="仿宋_GB2312" w:hAnsi="Times New Roman" w:eastAsia="仿宋_GB2312" w:cs="仿宋_GB2312"/>
          <w:color w:val="auto"/>
          <w:sz w:val="32"/>
          <w:szCs w:val="32"/>
        </w:rPr>
        <w:t>该项目由采购</w:t>
      </w:r>
      <w:r>
        <w:rPr>
          <w:rFonts w:hint="eastAsia" w:ascii="仿宋_GB2312" w:hAnsi="Times New Roman" w:eastAsia="仿宋_GB2312" w:cs="仿宋_GB2312"/>
          <w:color w:val="auto"/>
          <w:sz w:val="32"/>
          <w:szCs w:val="32"/>
          <w:lang w:val="en-US" w:eastAsia="zh-CN"/>
        </w:rPr>
        <w:t>人</w:t>
      </w:r>
      <w:r>
        <w:rPr>
          <w:rFonts w:hint="eastAsia" w:ascii="仿宋_GB2312" w:hAnsi="Times New Roman" w:eastAsia="仿宋_GB2312" w:cs="仿宋_GB2312"/>
          <w:color w:val="auto"/>
          <w:sz w:val="32"/>
          <w:szCs w:val="32"/>
        </w:rPr>
        <w:t>以银行转账的方式</w:t>
      </w:r>
      <w:r>
        <w:rPr>
          <w:rFonts w:hint="eastAsia" w:ascii="仿宋_GB2312" w:hAnsi="Times New Roman" w:eastAsia="仿宋_GB2312" w:cs="仿宋_GB2312"/>
          <w:color w:val="auto"/>
          <w:sz w:val="32"/>
          <w:szCs w:val="32"/>
          <w:lang w:val="en-US" w:eastAsia="zh-CN"/>
        </w:rPr>
        <w:t>支付成交供应商，具体为：</w:t>
      </w:r>
      <w:r>
        <w:rPr>
          <w:rFonts w:hint="eastAsia" w:ascii="仿宋_GB2312" w:hAnsi="宋体" w:eastAsia="仿宋_GB2312"/>
          <w:sz w:val="32"/>
          <w:szCs w:val="32"/>
        </w:rPr>
        <w:t>合同签订</w:t>
      </w:r>
      <w:r>
        <w:rPr>
          <w:rFonts w:hint="eastAsia" w:ascii="仿宋_GB2312" w:hAnsi="宋体" w:eastAsia="仿宋_GB2312"/>
          <w:sz w:val="32"/>
          <w:szCs w:val="32"/>
          <w:lang w:val="en-US" w:eastAsia="zh-CN"/>
        </w:rPr>
        <w:t>后，成交供应商开具合同金额正规发票，采购人收到发票后</w:t>
      </w:r>
      <w:r>
        <w:rPr>
          <w:rFonts w:hint="eastAsia" w:hAnsi="宋体"/>
          <w:sz w:val="32"/>
          <w:szCs w:val="32"/>
          <w:lang w:val="en-US" w:eastAsia="zh-CN"/>
        </w:rPr>
        <w:t>15</w:t>
      </w:r>
      <w:r>
        <w:rPr>
          <w:rFonts w:hint="eastAsia" w:ascii="仿宋_GB2312" w:hAnsi="宋体" w:eastAsia="仿宋_GB2312"/>
          <w:sz w:val="32"/>
          <w:szCs w:val="32"/>
        </w:rPr>
        <w:t>个工作日内</w:t>
      </w:r>
      <w:r>
        <w:rPr>
          <w:rFonts w:hint="eastAsia" w:ascii="仿宋_GB2312" w:hAnsi="宋体" w:eastAsia="仿宋_GB2312"/>
          <w:sz w:val="32"/>
          <w:szCs w:val="32"/>
          <w:lang w:val="en-US" w:eastAsia="zh-CN"/>
        </w:rPr>
        <w:t>一次性</w:t>
      </w:r>
      <w:r>
        <w:rPr>
          <w:rFonts w:hint="eastAsia" w:ascii="仿宋_GB2312" w:hAnsi="宋体" w:eastAsia="仿宋_GB2312"/>
          <w:sz w:val="32"/>
          <w:szCs w:val="32"/>
        </w:rPr>
        <w:t>付款。</w:t>
      </w:r>
    </w:p>
    <w:p w14:paraId="3E8BF32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（四）知识产权</w:t>
      </w:r>
    </w:p>
    <w:p w14:paraId="0123A7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1B29A21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（五）其他</w:t>
      </w:r>
    </w:p>
    <w:p w14:paraId="3401ADB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其他未尽事宜由成交供应商和采购人双方在采购合同中详细约定。</w:t>
      </w:r>
    </w:p>
    <w:p w14:paraId="00223C9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14:paraId="2BD973D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37A856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14:paraId="3873E0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 资质文件部分</w:t>
      </w:r>
    </w:p>
    <w:p w14:paraId="2A8E494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1.一般资质文件内容要求</w:t>
      </w:r>
    </w:p>
    <w:p w14:paraId="693BD7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（1）具有独立承担民事责任的能力；</w:t>
      </w:r>
    </w:p>
    <w:p w14:paraId="703F9D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14:paraId="10B78C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不具有独立法人的分公司、办事处等分支机构不能参加询价。</w:t>
      </w:r>
    </w:p>
    <w:p w14:paraId="3A27E4A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（2）具有良好的商业信誉和健全的财务会计制度；</w:t>
      </w:r>
    </w:p>
    <w:p w14:paraId="0AE0D0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4AC8CBC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40BF9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71DEA8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04B5820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770CED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4BCB8F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无</w:t>
      </w:r>
    </w:p>
    <w:p w14:paraId="1BC508D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50C7906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5FB902C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1.响应文件与询价文件中服务技术和商务条款参数差异表(应对技术参数中的所有条款进行逐一应答，还需在“询价文件对应页码”栏内写明技术支持文件的页码)；</w:t>
      </w:r>
    </w:p>
    <w:p w14:paraId="16CA96C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4A5E3CB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399EC86B">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1、资格符合性检查</w:t>
      </w:r>
    </w:p>
    <w:tbl>
      <w:tblPr>
        <w:tblStyle w:val="12"/>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572"/>
        <w:gridCol w:w="2477"/>
        <w:gridCol w:w="5814"/>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69" w:type="dxa"/>
            <w:noWrap w:val="0"/>
            <w:vAlign w:val="center"/>
          </w:tcPr>
          <w:p w14:paraId="514F56EF">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049" w:type="dxa"/>
            <w:gridSpan w:val="2"/>
            <w:noWrap w:val="0"/>
            <w:vAlign w:val="center"/>
          </w:tcPr>
          <w:p w14:paraId="29396BE1">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检查因素</w:t>
            </w:r>
          </w:p>
        </w:tc>
        <w:tc>
          <w:tcPr>
            <w:tcW w:w="5814" w:type="dxa"/>
            <w:noWrap w:val="0"/>
            <w:vAlign w:val="center"/>
          </w:tcPr>
          <w:p w14:paraId="32BCC564">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369" w:type="dxa"/>
            <w:vMerge w:val="restart"/>
            <w:noWrap w:val="0"/>
            <w:vAlign w:val="center"/>
          </w:tcPr>
          <w:p w14:paraId="5DF809F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（一）</w:t>
            </w:r>
          </w:p>
        </w:tc>
        <w:tc>
          <w:tcPr>
            <w:tcW w:w="572" w:type="dxa"/>
            <w:vMerge w:val="restart"/>
            <w:noWrap w:val="0"/>
            <w:vAlign w:val="center"/>
          </w:tcPr>
          <w:p w14:paraId="0FBF4241">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5814" w:type="dxa"/>
            <w:noWrap w:val="0"/>
            <w:vAlign w:val="center"/>
          </w:tcPr>
          <w:p w14:paraId="4645334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w:t>
            </w:r>
            <w:r>
              <w:rPr>
                <w:rFonts w:hint="eastAsia" w:eastAsia="仿宋"/>
                <w:kern w:val="0"/>
                <w:sz w:val="21"/>
                <w:szCs w:val="21"/>
              </w:rPr>
              <w:t>供应商</w:t>
            </w:r>
            <w:r>
              <w:rPr>
                <w:rFonts w:hint="eastAsia" w:ascii="仿宋" w:hAnsi="仿宋" w:eastAsia="仿宋" w:cs="黑体"/>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sz w:val="21"/>
                <w:szCs w:val="21"/>
              </w:rPr>
              <w:t>；</w:t>
            </w:r>
          </w:p>
          <w:p w14:paraId="649C89D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369" w:type="dxa"/>
            <w:vMerge w:val="continue"/>
            <w:noWrap w:val="0"/>
            <w:vAlign w:val="center"/>
          </w:tcPr>
          <w:p w14:paraId="49064B41">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CB51352">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tc>
        <w:tc>
          <w:tcPr>
            <w:tcW w:w="5814" w:type="dxa"/>
            <w:vMerge w:val="restart"/>
            <w:noWrap w:val="0"/>
            <w:vAlign w:val="center"/>
          </w:tcPr>
          <w:p w14:paraId="38DDAC99">
            <w:pPr>
              <w:snapToGrid w:val="0"/>
              <w:spacing w:line="440" w:lineRule="exac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sz w:val="21"/>
                <w:szCs w:val="21"/>
              </w:rPr>
              <w:t>供应商提供“基本资格条件承诺函”。</w:t>
            </w:r>
            <w:r>
              <w:rPr>
                <w:rFonts w:hint="eastAsia" w:ascii="仿宋" w:hAnsi="仿宋" w:eastAsia="仿宋" w:cs="仿宋"/>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369" w:type="dxa"/>
            <w:vMerge w:val="continue"/>
            <w:noWrap w:val="0"/>
            <w:vAlign w:val="center"/>
          </w:tcPr>
          <w:p w14:paraId="755685C8">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4C91E09D">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tc>
        <w:tc>
          <w:tcPr>
            <w:tcW w:w="5814" w:type="dxa"/>
            <w:vMerge w:val="continue"/>
            <w:noWrap w:val="0"/>
            <w:vAlign w:val="center"/>
          </w:tcPr>
          <w:p w14:paraId="06B89368">
            <w:pPr>
              <w:ind w:firstLine="364"/>
              <w:jc w:val="left"/>
              <w:rPr>
                <w:rFonts w:hint="eastAsia" w:ascii="仿宋" w:hAnsi="仿宋" w:eastAsia="仿宋" w:cs="仿宋"/>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369" w:type="dxa"/>
            <w:vMerge w:val="continue"/>
            <w:noWrap w:val="0"/>
            <w:vAlign w:val="center"/>
          </w:tcPr>
          <w:p w14:paraId="27633FB2">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19FE831">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4.有依法缴纳税收和社会保障金的良好记录</w:t>
            </w:r>
          </w:p>
        </w:tc>
        <w:tc>
          <w:tcPr>
            <w:tcW w:w="5814" w:type="dxa"/>
            <w:vMerge w:val="continue"/>
            <w:noWrap w:val="0"/>
            <w:vAlign w:val="center"/>
          </w:tcPr>
          <w:p w14:paraId="30D39467">
            <w:pPr>
              <w:spacing w:line="240" w:lineRule="auto"/>
              <w:ind w:firstLine="0" w:firstLineChars="0"/>
              <w:jc w:val="left"/>
              <w:rPr>
                <w:rFonts w:hint="eastAsia" w:ascii="仿宋" w:hAnsi="仿宋" w:eastAsia="仿宋" w:cs="仿宋"/>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369" w:type="dxa"/>
            <w:vMerge w:val="continue"/>
            <w:noWrap w:val="0"/>
            <w:vAlign w:val="center"/>
          </w:tcPr>
          <w:p w14:paraId="01F286DC">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6336DCD4">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5.参加政府采购活动前三年内，在经营活动中没有重大违法记录</w:t>
            </w:r>
          </w:p>
        </w:tc>
        <w:tc>
          <w:tcPr>
            <w:tcW w:w="5814" w:type="dxa"/>
            <w:vMerge w:val="continue"/>
            <w:noWrap w:val="0"/>
            <w:vAlign w:val="center"/>
          </w:tcPr>
          <w:p w14:paraId="14A630FC">
            <w:pPr>
              <w:spacing w:line="240" w:lineRule="auto"/>
              <w:ind w:firstLine="0" w:firstLineChars="0"/>
              <w:jc w:val="left"/>
              <w:rPr>
                <w:rFonts w:hint="eastAsia" w:ascii="仿宋" w:hAnsi="仿宋" w:eastAsia="仿宋" w:cs="仿宋"/>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69" w:type="dxa"/>
            <w:vMerge w:val="continue"/>
            <w:noWrap w:val="0"/>
            <w:vAlign w:val="center"/>
          </w:tcPr>
          <w:p w14:paraId="767D5D54">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ADA629A">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5814" w:type="dxa"/>
            <w:noWrap w:val="0"/>
            <w:vAlign w:val="center"/>
          </w:tcPr>
          <w:p w14:paraId="6AB0445E">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369" w:type="dxa"/>
            <w:vMerge w:val="continue"/>
            <w:noWrap w:val="0"/>
            <w:vAlign w:val="center"/>
          </w:tcPr>
          <w:p w14:paraId="73FB6DC2">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0E7AF51C">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5814" w:type="dxa"/>
            <w:noWrap w:val="0"/>
            <w:vAlign w:val="center"/>
          </w:tcPr>
          <w:p w14:paraId="03D08F5F">
            <w:pPr>
              <w:snapToGrid w:val="0"/>
              <w:spacing w:line="440" w:lineRule="exact"/>
              <w:rPr>
                <w:rFonts w:hint="eastAsia" w:ascii="仿宋" w:hAnsi="仿宋" w:eastAsia="仿宋" w:cs="仿宋"/>
                <w:sz w:val="21"/>
                <w:szCs w:val="21"/>
              </w:rPr>
            </w:pPr>
            <w:r>
              <w:rPr>
                <w:rFonts w:hint="eastAsia" w:ascii="仿宋" w:hAnsi="仿宋" w:eastAsia="仿宋" w:cs="仿宋"/>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369" w:type="dxa"/>
            <w:noWrap w:val="0"/>
            <w:vAlign w:val="center"/>
          </w:tcPr>
          <w:p w14:paraId="73C9F461">
            <w:pPr>
              <w:spacing w:line="240" w:lineRule="auto"/>
              <w:ind w:firstLine="0" w:firstLineChars="0"/>
              <w:jc w:val="center"/>
              <w:rPr>
                <w:rFonts w:hint="default" w:ascii="仿宋" w:hAnsi="仿宋" w:eastAsia="仿宋" w:cs="仿宋"/>
                <w:sz w:val="21"/>
                <w:szCs w:val="21"/>
              </w:rPr>
            </w:pPr>
            <w:r>
              <w:rPr>
                <w:rFonts w:hint="default" w:ascii="仿宋" w:hAnsi="仿宋" w:eastAsia="仿宋" w:cs="仿宋"/>
                <w:sz w:val="21"/>
                <w:szCs w:val="21"/>
              </w:rPr>
              <w:t>（</w:t>
            </w:r>
            <w:r>
              <w:rPr>
                <w:rFonts w:hint="eastAsia" w:ascii="仿宋" w:hAnsi="仿宋" w:eastAsia="仿宋" w:cs="仿宋"/>
                <w:sz w:val="21"/>
                <w:szCs w:val="21"/>
                <w:lang w:eastAsia="zh-CN"/>
              </w:rPr>
              <w:t>二</w:t>
            </w:r>
            <w:r>
              <w:rPr>
                <w:rFonts w:hint="default" w:ascii="仿宋" w:hAnsi="仿宋" w:eastAsia="仿宋" w:cs="仿宋"/>
                <w:sz w:val="21"/>
                <w:szCs w:val="21"/>
              </w:rPr>
              <w:t>）</w:t>
            </w:r>
          </w:p>
        </w:tc>
        <w:tc>
          <w:tcPr>
            <w:tcW w:w="3049" w:type="dxa"/>
            <w:gridSpan w:val="2"/>
            <w:noWrap w:val="0"/>
            <w:vAlign w:val="center"/>
          </w:tcPr>
          <w:p w14:paraId="794CBC53">
            <w:pPr>
              <w:spacing w:line="240" w:lineRule="auto"/>
              <w:ind w:firstLine="0" w:firstLineChars="0"/>
              <w:jc w:val="center"/>
              <w:rPr>
                <w:rFonts w:hint="default" w:ascii="仿宋" w:hAnsi="仿宋" w:eastAsia="仿宋" w:cs="仿宋"/>
                <w:sz w:val="21"/>
                <w:szCs w:val="21"/>
                <w:highlight w:val="yellow"/>
              </w:rPr>
            </w:pPr>
            <w:r>
              <w:rPr>
                <w:rFonts w:hint="default" w:ascii="仿宋" w:hAnsi="仿宋" w:eastAsia="仿宋" w:cs="仿宋"/>
                <w:sz w:val="21"/>
                <w:szCs w:val="21"/>
                <w:highlight w:val="none"/>
              </w:rPr>
              <w:t>保证金</w:t>
            </w:r>
          </w:p>
        </w:tc>
        <w:tc>
          <w:tcPr>
            <w:tcW w:w="5814" w:type="dxa"/>
            <w:noWrap w:val="0"/>
            <w:vAlign w:val="center"/>
          </w:tcPr>
          <w:p w14:paraId="2514138B">
            <w:pPr>
              <w:spacing w:line="240" w:lineRule="auto"/>
              <w:ind w:firstLine="0" w:firstLineChars="0"/>
              <w:jc w:val="left"/>
              <w:rPr>
                <w:rFonts w:hint="eastAsia" w:ascii="仿宋" w:hAnsi="仿宋" w:eastAsia="仿宋" w:cs="仿宋"/>
                <w:sz w:val="21"/>
                <w:szCs w:val="21"/>
                <w:highlight w:val="yellow"/>
                <w:lang w:eastAsia="zh-CN"/>
              </w:rPr>
            </w:pPr>
            <w:r>
              <w:rPr>
                <w:rFonts w:hint="eastAsia" w:ascii="仿宋" w:hAnsi="仿宋" w:eastAsia="仿宋" w:cs="仿宋"/>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sz w:val="21"/>
                <w:szCs w:val="21"/>
              </w:rPr>
              <w:t>对</w:t>
            </w:r>
            <w:r>
              <w:rPr>
                <w:rFonts w:hint="eastAsia" w:ascii="仿宋" w:hAnsi="仿宋" w:eastAsia="仿宋" w:cs="仿宋"/>
                <w:sz w:val="21"/>
                <w:szCs w:val="21"/>
                <w:lang w:eastAsia="zh-CN"/>
              </w:rPr>
              <w:t>采购文件</w:t>
            </w:r>
            <w:r>
              <w:rPr>
                <w:rFonts w:hint="eastAsia" w:ascii="仿宋" w:hAnsi="仿宋" w:eastAsia="仿宋" w:cs="仿宋"/>
                <w:sz w:val="21"/>
                <w:szCs w:val="21"/>
              </w:rPr>
              <w:t>全篇规定的内容进行实质性响应。</w:t>
            </w:r>
            <w:r>
              <w:rPr>
                <w:rFonts w:hint="eastAsia" w:ascii="仿宋" w:hAnsi="仿宋" w:eastAsia="仿宋" w:cs="仿宋"/>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14:paraId="00CCFB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（四）结果公示：成交结果公告时间为1个工作日。</w:t>
      </w:r>
    </w:p>
    <w:p w14:paraId="7948BC9A">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6F18A9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（一）资质审查不合格的（即供应商提交的资质文件不符合询价文书资质文件内容要求的）；</w:t>
      </w:r>
    </w:p>
    <w:p w14:paraId="019FEB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（二）询价文件未密封的；</w:t>
      </w:r>
    </w:p>
    <w:p w14:paraId="2493F02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（三）询价文件逾期送达的；</w:t>
      </w:r>
    </w:p>
    <w:p w14:paraId="39C0B9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（四）没有按照询价文书要求由询价供应商法定代表人或授权代表签字并加盖公章的；</w:t>
      </w:r>
    </w:p>
    <w:p w14:paraId="55C75CD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616E7E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（六）未完全响应本询价文书技术方案及商务条款的；</w:t>
      </w:r>
    </w:p>
    <w:p w14:paraId="405C210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（七）询价文件有多个投报方案或报价的；</w:t>
      </w:r>
    </w:p>
    <w:p w14:paraId="5AF0AA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29507F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1AEC960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（十）询价文件附有采购人不能接受的条件。</w:t>
      </w:r>
    </w:p>
    <w:p w14:paraId="353A5C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131FD38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74226BB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6582D0D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62A73A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724EDC24">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52C43D1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49229320">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47F916C9">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赖</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联系电话：6286</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4673</w:t>
      </w:r>
    </w:p>
    <w:p w14:paraId="674558E0">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6C49E020">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询价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08811010">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5F9AEBF1">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7917A7F9">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0763F0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52A72EB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3177BC4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5578096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E79FE05">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385287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D9EB4AB">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1150D472">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91675C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EDAC42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73D06C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43836B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A1FD8B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D0BF7EF">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4CBA2C0">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F20E13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3F0998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8CE68A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D961407">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5F34B5B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9778B3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251294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1163CDB">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4CBB384">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4B9400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2FBE4DD8">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331E5D38">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4303640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33ECAC0">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0D985F0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8C976E0">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23F3BC9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498CFC7">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3B56300F">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AA2192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910DA55">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E80F13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4BAC94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06DFD4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D28925A">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5C6D7F1F">
      <w:pPr>
        <w:rPr>
          <w:rFonts w:ascii="仿宋_GB2312" w:hAnsi="宋体" w:eastAsia="仿宋_GB2312" w:cs="Times New Roman"/>
          <w:b/>
          <w:bCs/>
          <w:color w:val="000000" w:themeColor="text1"/>
          <w:kern w:val="0"/>
          <w:sz w:val="24"/>
          <w:szCs w:val="24"/>
          <w14:textFill>
            <w14:solidFill>
              <w14:schemeClr w14:val="tx1"/>
            </w14:solidFill>
          </w14:textFill>
        </w:rPr>
      </w:pPr>
    </w:p>
    <w:p w14:paraId="44ADDFC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06C2ED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278F30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68380B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2FC46B0">
      <w:pPr>
        <w:rPr>
          <w:rFonts w:ascii="仿宋_GB2312" w:hAnsi="宋体" w:eastAsia="仿宋_GB2312" w:cs="Times New Roman"/>
          <w:b/>
          <w:bCs/>
          <w:color w:val="000000" w:themeColor="text1"/>
          <w:kern w:val="0"/>
          <w:sz w:val="24"/>
          <w:szCs w:val="24"/>
          <w14:textFill>
            <w14:solidFill>
              <w14:schemeClr w14:val="tx1"/>
            </w14:solidFill>
          </w14:textFill>
        </w:rPr>
      </w:pPr>
    </w:p>
    <w:p w14:paraId="12651EA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1272EB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99F46F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2FF9498">
      <w:pPr>
        <w:pStyle w:val="3"/>
        <w:rPr>
          <w:color w:val="000000" w:themeColor="text1"/>
          <w14:textFill>
            <w14:solidFill>
              <w14:schemeClr w14:val="tx1"/>
            </w14:solidFill>
          </w14:textFill>
        </w:rPr>
      </w:pPr>
    </w:p>
    <w:p w14:paraId="0503E52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4F2C689">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DA16F5C">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B729B00">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E9D5C5E">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14:paraId="6DBF6884">
      <w:pPr>
        <w:spacing w:line="312" w:lineRule="auto"/>
        <w:jc w:val="center"/>
        <w:rPr>
          <w:rFonts w:hint="eastAsia" w:ascii="宋体" w:hAnsi="宋体" w:cs="宋体"/>
          <w:b/>
          <w:color w:val="000000" w:themeColor="text1"/>
          <w:sz w:val="32"/>
          <w:szCs w:val="32"/>
          <w14:textFill>
            <w14:solidFill>
              <w14:schemeClr w14:val="tx1"/>
            </w14:solidFill>
          </w14:textFill>
        </w:rPr>
      </w:pPr>
    </w:p>
    <w:p w14:paraId="25156BE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14:paraId="1367BF1F">
      <w:pPr>
        <w:pStyle w:val="2"/>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14:paraId="34548330">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7F3D3B3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27DE06B">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E40FC7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E31828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6D6594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F5AF8A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8F7D37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A69E90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981C91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DEE44E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0705B65">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54F82CB">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547494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77C729C">
      <w:pPr>
        <w:pStyle w:val="2"/>
        <w:rPr>
          <w:rFonts w:hint="eastAsia"/>
          <w:color w:val="000000" w:themeColor="text1"/>
          <w14:textFill>
            <w14:solidFill>
              <w14:schemeClr w14:val="tx1"/>
            </w14:solidFill>
          </w14:textFill>
        </w:rPr>
      </w:pPr>
    </w:p>
    <w:p w14:paraId="426B24E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F712DC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11667F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06E697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A27FD1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3D70EC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129C475">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53CFD3B">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1E643FF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7D5222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CC3147D">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221A83F">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BF84C7">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76DF8575">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73CF1DB1">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189E60D4">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559A468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3E3F454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38A882DA">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0EE5994E">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2539E5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2169309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5F3BDD9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BBA655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4BC93EA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271C3A8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6A8058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0B04F039">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2C83C2E6">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3289971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1A042F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DFBF6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7E4F0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FC5C04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2D6953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548FE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087AD9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B619AB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F2DAA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6354A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E68A46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59989F2D">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38C3D807">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007773E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00FEF46">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65077A8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37C057A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53DAA49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1C616EA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6F4BEB7">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F4BDC0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7218832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24F38FB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692B2A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2430B8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153478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1AC0F38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89D441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BCDA7C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F6AF52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60D1D058">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2D1996FC">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AE71E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67AD8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8A7D1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62AC3095">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14:paraId="0D585AAB">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D024518">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39816B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5BB4E80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1B93B27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769446C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1796D88F">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51C9627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325BE42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09C32535">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57608C9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21B10353">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E33CBB4">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1C2144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80578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BE9299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974D97">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3B1DE25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FF0000"/>
          <w:sz w:val="32"/>
          <w:szCs w:val="32"/>
          <w:lang w:val="en-US" w:eastAsia="zh-CN"/>
        </w:rPr>
        <w:t>五、</w:t>
      </w:r>
      <w:r>
        <w:rPr>
          <w:rFonts w:hint="eastAsia" w:ascii="方正仿宋_GBK" w:hAnsi="宋体" w:eastAsia="方正仿宋_GBK" w:cs="宋体"/>
          <w:color w:val="FF0000"/>
          <w:sz w:val="32"/>
          <w:szCs w:val="32"/>
          <w:lang w:val="en-US" w:eastAsia="zh-CN"/>
        </w:rPr>
        <w:t>如授权代表参与投标的还需提供该项目授权代表近三个月缴纳社会保险参保证明。</w:t>
      </w:r>
    </w:p>
    <w:p w14:paraId="64C05F0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22DD8E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62C6A1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9F0CA9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7BC286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D59C2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F954E9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B85886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49ED6D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58D27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A21F7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58B74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0EC57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AB3ED6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1423C0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B9E059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0732AE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0EF706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B130B9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97D5D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B59D8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19E85C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A480C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10B2B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BE0084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4646E0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951202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0CF76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000BB3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C5217A">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1029E146">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38D44E70">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0C5E1636">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265DDA90">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询价采购。</w:t>
      </w:r>
    </w:p>
    <w:p w14:paraId="0CD67AF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76396DD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2E01787F">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33A404A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320ABC5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4232EEE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3BFC605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1ACD720D">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6C4ECFDD">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1F61CCF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C64959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95C1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2285999">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710C4E67">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5E591BFA">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4C5E05A5">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413BC0D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EAC771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3D3F4F6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41299BC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9F3B30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878780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AEB3A5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C7B4CB5">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9DB9F17">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3609F2F6">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387207BF">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433C0CC5">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9A5C24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60AA58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17F99A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F953BE">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56E4B9D9">
      <w:pPr>
        <w:rPr>
          <w:rFonts w:ascii="仿宋_GB2312" w:hAnsi="宋体" w:eastAsia="仿宋_GB2312" w:cs="Times New Roman"/>
          <w:b/>
          <w:bCs/>
          <w:color w:val="000000" w:themeColor="text1"/>
          <w:kern w:val="0"/>
          <w:sz w:val="24"/>
          <w:szCs w:val="24"/>
          <w14:textFill>
            <w14:solidFill>
              <w14:schemeClr w14:val="tx1"/>
            </w14:solidFill>
          </w14:textFill>
        </w:rPr>
      </w:pPr>
    </w:p>
    <w:p w14:paraId="5133BA5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1EA54F56">
      <w:pPr>
        <w:rPr>
          <w:rFonts w:ascii="仿宋_GB2312" w:hAnsi="宋体" w:eastAsia="仿宋_GB2312" w:cs="Times New Roman"/>
          <w:b/>
          <w:bCs/>
          <w:color w:val="000000" w:themeColor="text1"/>
          <w:kern w:val="0"/>
          <w:sz w:val="24"/>
          <w:szCs w:val="24"/>
          <w14:textFill>
            <w14:solidFill>
              <w14:schemeClr w14:val="tx1"/>
            </w14:solidFill>
          </w14:textFill>
        </w:rPr>
      </w:pPr>
    </w:p>
    <w:p w14:paraId="15FD0A51">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6BA7E68">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A9680A4">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A43C29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31F09A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91AFBD8">
      <w:pPr>
        <w:pStyle w:val="3"/>
        <w:rPr>
          <w:color w:val="000000" w:themeColor="text1"/>
          <w14:textFill>
            <w14:solidFill>
              <w14:schemeClr w14:val="tx1"/>
            </w14:solidFill>
          </w14:textFill>
        </w:rPr>
      </w:pPr>
    </w:p>
    <w:p w14:paraId="574260B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8E5A67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FD0A52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0CB00E64">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7E2F26F4">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4C6B4F3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14:paraId="13866C75">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1861DE73">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1C9B2182">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13698C6C">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7A689CC">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425E43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7C37F1B">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EBD44D5">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46DED6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2B6B43">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C854862">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B13D0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296BEC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DCDC2A">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4D6DA98">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997070E">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BC61EE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703EBD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7F61557B">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E0CE914">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2783F78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F03210A">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8F31C33">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7791AC83">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48B39062">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4B8E2FE">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517498E3">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915E148">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2DA31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206BE54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67E379C">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274FAEF2">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6F5C576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742F5E84">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90CE13F">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7C0682">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02919D8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BB90DD">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64E206C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2C284C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FE1D263">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10C7CC7F">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EE492DA">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093FA29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D7861A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E036052">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6C8A52A8">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0732E26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03D415B6">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64EE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07983C7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06AF0BEC">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73E5D5B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229429D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205A967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4C08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EBBB7B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E3DDC7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A67883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26131E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21B4C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35B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626D6B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46120D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240760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D6D213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77E421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15C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F42A21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23C0D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AA6D2B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FC1BF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13CA10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2D4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0DCA51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FF0EC7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106A2E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DE6BA5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653A7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6C2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E875AC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911F03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3002C4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8575F1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9DB0AC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9CD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E1CF8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7DB48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A13FDA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C3FE8F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B36511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BCB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881209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BAA31F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D5BA1E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BB232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205BE9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31A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9B4C13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323A15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8E6171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C54C57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F83DA7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077A55B1">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174AB73A">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1F15F2D0">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1A7F1A7E">
      <w:pPr>
        <w:numPr>
          <w:ilvl w:val="0"/>
          <w:numId w:val="0"/>
        </w:numPr>
        <w:snapToGrid w:val="0"/>
        <w:spacing w:line="44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080A8B8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1709A0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B725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B15421">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3BEC1368">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41F31F97">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6131E865">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22983840">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7E01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056E4F2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2247380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69E5A3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75EE2A2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1C71200F">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16A8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49FC1D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2DB49B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B93D49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9510B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32E592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577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9790A6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1FBC3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E77012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47C6F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F3669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0F2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DC1E74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850691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A06470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8B1977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5A822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59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7CB8E8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22A993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0D2C47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14A370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5F67F2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6A8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AC33B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5B6289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F04140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C06E01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F23C89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27A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662D7F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B07BE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DA0BC0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A55A90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AA9EB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513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F6EDAD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B6694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4629E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54F88A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BA8AE3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B8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0BB2B3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7D69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71361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A1F6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317EDB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62602C8E">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3A857789">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26C8CE28">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7EBBA28B">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54340C71">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54DABCC3">
      <w:pPr>
        <w:rPr>
          <w:rFonts w:hint="eastAsia"/>
          <w:color w:val="000000" w:themeColor="text1"/>
          <w:lang w:val="en-US" w:eastAsia="zh-CN"/>
          <w14:textFill>
            <w14:solidFill>
              <w14:schemeClr w14:val="tx1"/>
            </w14:solidFill>
          </w14:textFill>
        </w:rPr>
      </w:pPr>
    </w:p>
    <w:p w14:paraId="28F5946D">
      <w:pPr>
        <w:spacing w:line="540" w:lineRule="exact"/>
        <w:ind w:firstLine="640" w:firstLineChars="200"/>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（五）</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21E1825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F9B0110">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1F7A4A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487B84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21B3DFF9">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28C01F6C">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552B3AC">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678DF2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F429B4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3393CF6">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509F55AD">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0C8CDE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917599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D8E135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F43FB0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92BD471">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6D0F8EE0">
      <w:pPr>
        <w:rPr>
          <w:rFonts w:ascii="仿宋_GB2312" w:hAnsi="宋体" w:eastAsia="仿宋_GB2312" w:cs="Times New Roman"/>
          <w:b/>
          <w:bCs/>
          <w:color w:val="000000" w:themeColor="text1"/>
          <w:kern w:val="0"/>
          <w:sz w:val="24"/>
          <w:szCs w:val="24"/>
          <w14:textFill>
            <w14:solidFill>
              <w14:schemeClr w14:val="tx1"/>
            </w14:solidFill>
          </w14:textFill>
        </w:rPr>
      </w:pPr>
    </w:p>
    <w:p w14:paraId="6DD60B62">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47961498">
      <w:pPr>
        <w:pStyle w:val="3"/>
        <w:jc w:val="both"/>
        <w:rPr>
          <w:color w:val="000000" w:themeColor="text1"/>
          <w14:textFill>
            <w14:solidFill>
              <w14:schemeClr w14:val="tx1"/>
            </w14:solidFill>
          </w14:textFill>
        </w:rPr>
      </w:pPr>
    </w:p>
    <w:p w14:paraId="4E5C0C3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8FE245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337939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85A011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5003F92">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7788CD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044D9D5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E86445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9DA86B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7003DA17">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56ECB9F">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2FFEE2B7">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14:paraId="27BE6E21">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14:paraId="0755BBAA">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14:paraId="192EEFD3">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14:paraId="2CA10663">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14:paraId="5AF3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6E108FE8">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14:paraId="3CD9F44A">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6A10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2967E423">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14:paraId="5D7F6789">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44D2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2D56C9AB">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14:paraId="2ADC002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14:paraId="5302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0FB613CF">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14:paraId="6D2FD284">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14:paraId="0541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4B9ABF5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14:paraId="3E7CCBD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14:paraId="3C2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14:paraId="1F5E09F0">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14:paraId="6EB59B79">
      <w:pPr>
        <w:numPr>
          <w:ilvl w:val="0"/>
          <w:numId w:val="0"/>
        </w:numPr>
        <w:spacing w:line="500" w:lineRule="exact"/>
        <w:ind w:firstLine="640" w:firstLineChars="200"/>
        <w:jc w:val="both"/>
        <w:rPr>
          <w:rFonts w:hint="default" w:ascii="方正仿宋_GBK" w:hAnsi="宋体" w:eastAsia="方正仿宋_GBK" w:cs="宋体"/>
          <w:sz w:val="32"/>
          <w:szCs w:val="32"/>
        </w:rPr>
      </w:pPr>
    </w:p>
    <w:p w14:paraId="5064B770">
      <w:pPr>
        <w:numPr>
          <w:ilvl w:val="0"/>
          <w:numId w:val="0"/>
        </w:numPr>
        <w:spacing w:line="500" w:lineRule="exact"/>
        <w:ind w:firstLine="640" w:firstLineChars="200"/>
        <w:jc w:val="both"/>
        <w:rPr>
          <w:rFonts w:hint="default" w:ascii="方正仿宋_GBK" w:hAnsi="宋体" w:eastAsia="方正仿宋_GBK" w:cs="宋体"/>
          <w:sz w:val="32"/>
          <w:szCs w:val="32"/>
        </w:rPr>
      </w:pPr>
    </w:p>
    <w:p w14:paraId="0F3C974F">
      <w:pPr>
        <w:numPr>
          <w:ilvl w:val="0"/>
          <w:numId w:val="0"/>
        </w:numPr>
        <w:spacing w:line="500" w:lineRule="exact"/>
        <w:ind w:firstLine="640" w:firstLineChars="200"/>
        <w:jc w:val="both"/>
        <w:rPr>
          <w:rFonts w:hint="default" w:ascii="方正仿宋_GBK" w:hAnsi="宋体" w:eastAsia="方正仿宋_GBK" w:cs="宋体"/>
          <w:sz w:val="32"/>
          <w:szCs w:val="32"/>
        </w:rPr>
      </w:pPr>
    </w:p>
    <w:p w14:paraId="652825C6">
      <w:pPr>
        <w:numPr>
          <w:ilvl w:val="0"/>
          <w:numId w:val="0"/>
        </w:numPr>
        <w:spacing w:line="500" w:lineRule="exact"/>
        <w:ind w:firstLine="640" w:firstLineChars="200"/>
        <w:jc w:val="both"/>
        <w:rPr>
          <w:rFonts w:hint="default" w:ascii="方正仿宋_GBK" w:hAnsi="宋体" w:eastAsia="方正仿宋_GBK" w:cs="宋体"/>
          <w:sz w:val="32"/>
          <w:szCs w:val="32"/>
        </w:rPr>
      </w:pPr>
    </w:p>
    <w:p w14:paraId="5C521A6E">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14:paraId="7173FBCF">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14:paraId="448A8381">
      <w:pPr>
        <w:numPr>
          <w:ilvl w:val="0"/>
          <w:numId w:val="0"/>
        </w:numPr>
        <w:spacing w:line="500" w:lineRule="exact"/>
        <w:ind w:left="5438" w:leftChars="304" w:hanging="4800" w:hangingChars="1500"/>
        <w:jc w:val="both"/>
        <w:rPr>
          <w:rFonts w:hint="eastAsia" w:ascii="方正仿宋_GBK" w:hAnsi="宋体" w:eastAsia="方正仿宋_GBK" w:cs="宋体"/>
          <w:sz w:val="32"/>
          <w:szCs w:val="32"/>
          <w:lang w:val="en-US" w:eastAsia="zh-CN"/>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14:paraId="3516B276">
      <w:pPr>
        <w:numPr>
          <w:ilvl w:val="0"/>
          <w:numId w:val="0"/>
        </w:numPr>
        <w:spacing w:line="500" w:lineRule="exact"/>
        <w:ind w:firstLine="640" w:firstLineChars="200"/>
        <w:jc w:val="both"/>
        <w:rPr>
          <w:rFonts w:hint="eastAsia" w:ascii="方正仿宋_GBK" w:hAnsi="宋体" w:eastAsia="方正仿宋_GBK" w:cs="宋体"/>
          <w:sz w:val="32"/>
          <w:szCs w:val="32"/>
          <w:lang w:val="en-US" w:eastAsia="zh-CN"/>
        </w:rPr>
      </w:pPr>
    </w:p>
    <w:p w14:paraId="2B9671EE">
      <w:pPr>
        <w:rPr>
          <w:color w:val="000000" w:themeColor="text1"/>
          <w14:textFill>
            <w14:solidFill>
              <w14:schemeClr w14:val="tx1"/>
            </w14:solidFill>
          </w14:textFill>
        </w:rPr>
      </w:pP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C4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6BC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6BC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D2F3">
    <w:pPr>
      <w:pStyle w:val="8"/>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2FA6">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847B94"/>
    <w:rsid w:val="00A178AA"/>
    <w:rsid w:val="00B55593"/>
    <w:rsid w:val="00C61971"/>
    <w:rsid w:val="015B78EE"/>
    <w:rsid w:val="017D4A75"/>
    <w:rsid w:val="01A75F85"/>
    <w:rsid w:val="02021D56"/>
    <w:rsid w:val="021B4DD6"/>
    <w:rsid w:val="02373CC4"/>
    <w:rsid w:val="026001FD"/>
    <w:rsid w:val="02BB74B7"/>
    <w:rsid w:val="02EF14EF"/>
    <w:rsid w:val="03043F03"/>
    <w:rsid w:val="035537A6"/>
    <w:rsid w:val="0370288D"/>
    <w:rsid w:val="04842BB6"/>
    <w:rsid w:val="048B7202"/>
    <w:rsid w:val="04C57F01"/>
    <w:rsid w:val="053111F0"/>
    <w:rsid w:val="06A31C32"/>
    <w:rsid w:val="06B61F38"/>
    <w:rsid w:val="06D6522D"/>
    <w:rsid w:val="07402EA4"/>
    <w:rsid w:val="078C3770"/>
    <w:rsid w:val="07E01DA1"/>
    <w:rsid w:val="07EF202F"/>
    <w:rsid w:val="084D360D"/>
    <w:rsid w:val="088223A9"/>
    <w:rsid w:val="08986A98"/>
    <w:rsid w:val="08A75C6F"/>
    <w:rsid w:val="09365590"/>
    <w:rsid w:val="0949650D"/>
    <w:rsid w:val="09953C17"/>
    <w:rsid w:val="099E023E"/>
    <w:rsid w:val="09A034A4"/>
    <w:rsid w:val="09B238D6"/>
    <w:rsid w:val="09C821BF"/>
    <w:rsid w:val="09DB7AF0"/>
    <w:rsid w:val="09E0077E"/>
    <w:rsid w:val="09EB53A5"/>
    <w:rsid w:val="0A7A2C6E"/>
    <w:rsid w:val="0AB45C5E"/>
    <w:rsid w:val="0B3301DB"/>
    <w:rsid w:val="0B4B5097"/>
    <w:rsid w:val="0B6825B7"/>
    <w:rsid w:val="0B6D7671"/>
    <w:rsid w:val="0B9B1B1F"/>
    <w:rsid w:val="0BC5500F"/>
    <w:rsid w:val="0C467FF4"/>
    <w:rsid w:val="0D3A117D"/>
    <w:rsid w:val="0D3B1C3A"/>
    <w:rsid w:val="0D5841BD"/>
    <w:rsid w:val="0D841C9B"/>
    <w:rsid w:val="0EF9760E"/>
    <w:rsid w:val="0FC10169"/>
    <w:rsid w:val="0FC7598C"/>
    <w:rsid w:val="10F12089"/>
    <w:rsid w:val="113F1598"/>
    <w:rsid w:val="114948FA"/>
    <w:rsid w:val="1149506D"/>
    <w:rsid w:val="1186571D"/>
    <w:rsid w:val="11F049C1"/>
    <w:rsid w:val="11F071D0"/>
    <w:rsid w:val="124E53AE"/>
    <w:rsid w:val="12C34547"/>
    <w:rsid w:val="130576A8"/>
    <w:rsid w:val="13A86C29"/>
    <w:rsid w:val="13B1150F"/>
    <w:rsid w:val="13CB3D0F"/>
    <w:rsid w:val="13F92C1A"/>
    <w:rsid w:val="140263D0"/>
    <w:rsid w:val="14355834"/>
    <w:rsid w:val="14514C8D"/>
    <w:rsid w:val="154F3692"/>
    <w:rsid w:val="15A144E9"/>
    <w:rsid w:val="162837A2"/>
    <w:rsid w:val="16830C30"/>
    <w:rsid w:val="16BB34D0"/>
    <w:rsid w:val="16C162CB"/>
    <w:rsid w:val="16E3365C"/>
    <w:rsid w:val="17302703"/>
    <w:rsid w:val="176000E3"/>
    <w:rsid w:val="1775200F"/>
    <w:rsid w:val="17A70214"/>
    <w:rsid w:val="17AD2CF8"/>
    <w:rsid w:val="183E3DA7"/>
    <w:rsid w:val="18D75BCD"/>
    <w:rsid w:val="18DF0D30"/>
    <w:rsid w:val="18E4289C"/>
    <w:rsid w:val="18E66DF6"/>
    <w:rsid w:val="18F17989"/>
    <w:rsid w:val="1931728F"/>
    <w:rsid w:val="197E522C"/>
    <w:rsid w:val="19E27BFB"/>
    <w:rsid w:val="1A515BCF"/>
    <w:rsid w:val="1A5F47FD"/>
    <w:rsid w:val="1B1B69AA"/>
    <w:rsid w:val="1B642113"/>
    <w:rsid w:val="1B794DC9"/>
    <w:rsid w:val="1BF75894"/>
    <w:rsid w:val="1CA363E6"/>
    <w:rsid w:val="1CC546FF"/>
    <w:rsid w:val="1CED2106"/>
    <w:rsid w:val="1D037076"/>
    <w:rsid w:val="1D517C29"/>
    <w:rsid w:val="1D616197"/>
    <w:rsid w:val="1D9C7E02"/>
    <w:rsid w:val="1DC5517E"/>
    <w:rsid w:val="1DE43BC8"/>
    <w:rsid w:val="1E7B6617"/>
    <w:rsid w:val="1E8E46FB"/>
    <w:rsid w:val="1F0A48F8"/>
    <w:rsid w:val="1F2C0897"/>
    <w:rsid w:val="1F734307"/>
    <w:rsid w:val="1F9E3228"/>
    <w:rsid w:val="1FF01EAC"/>
    <w:rsid w:val="20485C4C"/>
    <w:rsid w:val="20504DD1"/>
    <w:rsid w:val="20CD21F4"/>
    <w:rsid w:val="212115A2"/>
    <w:rsid w:val="21C960F6"/>
    <w:rsid w:val="23E67F16"/>
    <w:rsid w:val="242F672E"/>
    <w:rsid w:val="24663B91"/>
    <w:rsid w:val="2492258F"/>
    <w:rsid w:val="24B37C49"/>
    <w:rsid w:val="25506927"/>
    <w:rsid w:val="264C5C76"/>
    <w:rsid w:val="26C57B7A"/>
    <w:rsid w:val="27194F7C"/>
    <w:rsid w:val="28F40496"/>
    <w:rsid w:val="29B028BE"/>
    <w:rsid w:val="29E55C38"/>
    <w:rsid w:val="29F36B66"/>
    <w:rsid w:val="29F92C58"/>
    <w:rsid w:val="2ADA6FF8"/>
    <w:rsid w:val="2AEE24E2"/>
    <w:rsid w:val="2B017E97"/>
    <w:rsid w:val="2B3C6B3E"/>
    <w:rsid w:val="2B6A695E"/>
    <w:rsid w:val="2BA65763"/>
    <w:rsid w:val="2BEC7070"/>
    <w:rsid w:val="2C0D6E49"/>
    <w:rsid w:val="2C554FCF"/>
    <w:rsid w:val="2CA83EB9"/>
    <w:rsid w:val="2D9A3B92"/>
    <w:rsid w:val="2E127B88"/>
    <w:rsid w:val="2E254534"/>
    <w:rsid w:val="2E6574FC"/>
    <w:rsid w:val="2EEA4EA3"/>
    <w:rsid w:val="2EEF3DCB"/>
    <w:rsid w:val="2F4A6C32"/>
    <w:rsid w:val="2FC70F86"/>
    <w:rsid w:val="30155B22"/>
    <w:rsid w:val="303703B7"/>
    <w:rsid w:val="30C22029"/>
    <w:rsid w:val="30CC0E8D"/>
    <w:rsid w:val="30DD4DE2"/>
    <w:rsid w:val="311E39FD"/>
    <w:rsid w:val="313C3AF3"/>
    <w:rsid w:val="315B5E95"/>
    <w:rsid w:val="317C5661"/>
    <w:rsid w:val="318A463B"/>
    <w:rsid w:val="31E247E4"/>
    <w:rsid w:val="324D611F"/>
    <w:rsid w:val="32607604"/>
    <w:rsid w:val="335B7C68"/>
    <w:rsid w:val="340030B3"/>
    <w:rsid w:val="3418053F"/>
    <w:rsid w:val="34265721"/>
    <w:rsid w:val="3482764F"/>
    <w:rsid w:val="34890B03"/>
    <w:rsid w:val="34EC7A34"/>
    <w:rsid w:val="34EF56D6"/>
    <w:rsid w:val="35741906"/>
    <w:rsid w:val="35A70844"/>
    <w:rsid w:val="35A90EA2"/>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9E022E0"/>
    <w:rsid w:val="3A5E22ED"/>
    <w:rsid w:val="3A807CF6"/>
    <w:rsid w:val="3AB05298"/>
    <w:rsid w:val="3ACE2EE4"/>
    <w:rsid w:val="3B27789D"/>
    <w:rsid w:val="3B4D46D7"/>
    <w:rsid w:val="3B501235"/>
    <w:rsid w:val="3BD8480C"/>
    <w:rsid w:val="3BE80257"/>
    <w:rsid w:val="3BEF2135"/>
    <w:rsid w:val="3C6523A5"/>
    <w:rsid w:val="3C82064D"/>
    <w:rsid w:val="3CB03353"/>
    <w:rsid w:val="3D467861"/>
    <w:rsid w:val="3D6966DE"/>
    <w:rsid w:val="3DD6597B"/>
    <w:rsid w:val="3DFD73B3"/>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C80BBB"/>
    <w:rsid w:val="41FF6B57"/>
    <w:rsid w:val="42DA497B"/>
    <w:rsid w:val="42E5074C"/>
    <w:rsid w:val="42EB334A"/>
    <w:rsid w:val="431B489F"/>
    <w:rsid w:val="437672CF"/>
    <w:rsid w:val="43792ACE"/>
    <w:rsid w:val="43B55C46"/>
    <w:rsid w:val="43B6421A"/>
    <w:rsid w:val="43B90FC1"/>
    <w:rsid w:val="43E500FD"/>
    <w:rsid w:val="43E824FD"/>
    <w:rsid w:val="43EA5710"/>
    <w:rsid w:val="44070B4C"/>
    <w:rsid w:val="44836427"/>
    <w:rsid w:val="44D800BA"/>
    <w:rsid w:val="453B615D"/>
    <w:rsid w:val="45627106"/>
    <w:rsid w:val="45B3679A"/>
    <w:rsid w:val="461C728F"/>
    <w:rsid w:val="46282E28"/>
    <w:rsid w:val="468627DD"/>
    <w:rsid w:val="46A85802"/>
    <w:rsid w:val="470234A2"/>
    <w:rsid w:val="47687CDF"/>
    <w:rsid w:val="47705678"/>
    <w:rsid w:val="484B2E37"/>
    <w:rsid w:val="486B3A63"/>
    <w:rsid w:val="490C1EF4"/>
    <w:rsid w:val="490F6E38"/>
    <w:rsid w:val="49406B15"/>
    <w:rsid w:val="49C33133"/>
    <w:rsid w:val="49EE4FE0"/>
    <w:rsid w:val="4A1F169C"/>
    <w:rsid w:val="4A7E3550"/>
    <w:rsid w:val="4AC544BB"/>
    <w:rsid w:val="4AD06CCA"/>
    <w:rsid w:val="4B463EF5"/>
    <w:rsid w:val="4BB9229E"/>
    <w:rsid w:val="4BD560EC"/>
    <w:rsid w:val="4C241E79"/>
    <w:rsid w:val="4CD6724B"/>
    <w:rsid w:val="4CE42681"/>
    <w:rsid w:val="4D4249B5"/>
    <w:rsid w:val="4D520EA2"/>
    <w:rsid w:val="4D9145CE"/>
    <w:rsid w:val="4F980F23"/>
    <w:rsid w:val="4FB862CC"/>
    <w:rsid w:val="502E64A4"/>
    <w:rsid w:val="503F0703"/>
    <w:rsid w:val="506401FC"/>
    <w:rsid w:val="50E22D93"/>
    <w:rsid w:val="512272C9"/>
    <w:rsid w:val="51D16DE0"/>
    <w:rsid w:val="51FA22F8"/>
    <w:rsid w:val="525B147E"/>
    <w:rsid w:val="528B1ED6"/>
    <w:rsid w:val="53154A1F"/>
    <w:rsid w:val="53381737"/>
    <w:rsid w:val="534058C8"/>
    <w:rsid w:val="53953374"/>
    <w:rsid w:val="53A60BA3"/>
    <w:rsid w:val="540D34EF"/>
    <w:rsid w:val="546635F4"/>
    <w:rsid w:val="54703A7A"/>
    <w:rsid w:val="54986130"/>
    <w:rsid w:val="54A70863"/>
    <w:rsid w:val="54B92D8D"/>
    <w:rsid w:val="54CC60E5"/>
    <w:rsid w:val="558C2AB1"/>
    <w:rsid w:val="559D47A0"/>
    <w:rsid w:val="55A3172F"/>
    <w:rsid w:val="55C62303"/>
    <w:rsid w:val="55F86EB3"/>
    <w:rsid w:val="5617314C"/>
    <w:rsid w:val="563138B4"/>
    <w:rsid w:val="568B3985"/>
    <w:rsid w:val="5738254E"/>
    <w:rsid w:val="57672EE4"/>
    <w:rsid w:val="5768159A"/>
    <w:rsid w:val="578A466F"/>
    <w:rsid w:val="57D821C1"/>
    <w:rsid w:val="5850145B"/>
    <w:rsid w:val="58DA0C09"/>
    <w:rsid w:val="58F2460D"/>
    <w:rsid w:val="593077DD"/>
    <w:rsid w:val="59FE1543"/>
    <w:rsid w:val="5A235C6A"/>
    <w:rsid w:val="5A6543DB"/>
    <w:rsid w:val="5A760DD7"/>
    <w:rsid w:val="5A9E6CE7"/>
    <w:rsid w:val="5AB11BA7"/>
    <w:rsid w:val="5B16116C"/>
    <w:rsid w:val="5B3A4D92"/>
    <w:rsid w:val="5B56561F"/>
    <w:rsid w:val="5B82431B"/>
    <w:rsid w:val="5BDB0F89"/>
    <w:rsid w:val="5BE1553E"/>
    <w:rsid w:val="5BFB61F3"/>
    <w:rsid w:val="5C9C2495"/>
    <w:rsid w:val="5CCC67EF"/>
    <w:rsid w:val="5D030F26"/>
    <w:rsid w:val="5D393A6B"/>
    <w:rsid w:val="5D3A1E79"/>
    <w:rsid w:val="5D4E6EC9"/>
    <w:rsid w:val="5D76356B"/>
    <w:rsid w:val="5D997232"/>
    <w:rsid w:val="5E1C1A00"/>
    <w:rsid w:val="5F053371"/>
    <w:rsid w:val="5F3337CD"/>
    <w:rsid w:val="5FBC4264"/>
    <w:rsid w:val="6040234A"/>
    <w:rsid w:val="6123117D"/>
    <w:rsid w:val="614B3479"/>
    <w:rsid w:val="614D7107"/>
    <w:rsid w:val="614F5CEE"/>
    <w:rsid w:val="617D68E2"/>
    <w:rsid w:val="61857F93"/>
    <w:rsid w:val="61AE2CA5"/>
    <w:rsid w:val="62623C34"/>
    <w:rsid w:val="6271541F"/>
    <w:rsid w:val="62AB2972"/>
    <w:rsid w:val="62C21D6C"/>
    <w:rsid w:val="62DB2B8C"/>
    <w:rsid w:val="632D4618"/>
    <w:rsid w:val="633057A3"/>
    <w:rsid w:val="63E566A1"/>
    <w:rsid w:val="6454244F"/>
    <w:rsid w:val="646E3336"/>
    <w:rsid w:val="64785961"/>
    <w:rsid w:val="647F0B2F"/>
    <w:rsid w:val="64BE104B"/>
    <w:rsid w:val="650E39D3"/>
    <w:rsid w:val="65180AF8"/>
    <w:rsid w:val="65A52A0F"/>
    <w:rsid w:val="65C74368"/>
    <w:rsid w:val="65E17A19"/>
    <w:rsid w:val="65E3583B"/>
    <w:rsid w:val="664734F5"/>
    <w:rsid w:val="66541F3E"/>
    <w:rsid w:val="66B40B0F"/>
    <w:rsid w:val="66D173D9"/>
    <w:rsid w:val="6712609E"/>
    <w:rsid w:val="6748677A"/>
    <w:rsid w:val="67A20389"/>
    <w:rsid w:val="67A65DBA"/>
    <w:rsid w:val="6827727F"/>
    <w:rsid w:val="68955338"/>
    <w:rsid w:val="68E5215E"/>
    <w:rsid w:val="693020A5"/>
    <w:rsid w:val="69302EB9"/>
    <w:rsid w:val="69322306"/>
    <w:rsid w:val="693A039D"/>
    <w:rsid w:val="69651328"/>
    <w:rsid w:val="6982256E"/>
    <w:rsid w:val="69CC7604"/>
    <w:rsid w:val="6A3761D2"/>
    <w:rsid w:val="6AA748D9"/>
    <w:rsid w:val="6AB31367"/>
    <w:rsid w:val="6B45521A"/>
    <w:rsid w:val="6B6A3579"/>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6613AC"/>
    <w:rsid w:val="757C69CF"/>
    <w:rsid w:val="7600293C"/>
    <w:rsid w:val="76490603"/>
    <w:rsid w:val="766815EA"/>
    <w:rsid w:val="77242E9D"/>
    <w:rsid w:val="777F4F12"/>
    <w:rsid w:val="78875650"/>
    <w:rsid w:val="78C62065"/>
    <w:rsid w:val="79490F0C"/>
    <w:rsid w:val="797C1EB1"/>
    <w:rsid w:val="79955BE1"/>
    <w:rsid w:val="79C7712C"/>
    <w:rsid w:val="79E24222"/>
    <w:rsid w:val="7A176381"/>
    <w:rsid w:val="7A261C04"/>
    <w:rsid w:val="7A324420"/>
    <w:rsid w:val="7A4020A0"/>
    <w:rsid w:val="7AB74CE5"/>
    <w:rsid w:val="7AF468CA"/>
    <w:rsid w:val="7B1D4C2C"/>
    <w:rsid w:val="7B294DF3"/>
    <w:rsid w:val="7BCB6B4F"/>
    <w:rsid w:val="7BF02DB2"/>
    <w:rsid w:val="7C1D6B09"/>
    <w:rsid w:val="7C547353"/>
    <w:rsid w:val="7C645E96"/>
    <w:rsid w:val="7C6F3538"/>
    <w:rsid w:val="7C763145"/>
    <w:rsid w:val="7C9F557B"/>
    <w:rsid w:val="7CA51C63"/>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5313</Words>
  <Characters>5511</Characters>
  <Lines>0</Lines>
  <Paragraphs>0</Paragraphs>
  <TotalTime>56</TotalTime>
  <ScaleCrop>false</ScaleCrop>
  <LinksUpToDate>false</LinksUpToDate>
  <CharactersWithSpaces>5566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2022-09-02T03:30:00Z</cp:lastPrinted>
  <dcterms:modified xsi:type="dcterms:W3CDTF">2025-08-07T07:36:53Z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